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57B54" w14:textId="77777777" w:rsidR="00D62B16" w:rsidRPr="00493247" w:rsidRDefault="00D62B16" w:rsidP="00D62B16">
      <w:pPr>
        <w:spacing w:after="240"/>
        <w:jc w:val="center"/>
        <w:rPr>
          <w:rFonts w:ascii="Times New Roman" w:hAnsi="Times New Roman"/>
          <w:b/>
          <w:kern w:val="28"/>
          <w:sz w:val="22"/>
        </w:rPr>
      </w:pPr>
      <w:r w:rsidRPr="00493247">
        <w:rPr>
          <w:rFonts w:ascii="Times New Roman" w:hAnsi="Times New Roman"/>
          <w:b/>
          <w:kern w:val="28"/>
          <w:sz w:val="22"/>
        </w:rPr>
        <w:t>Business Associate Agreement</w:t>
      </w:r>
    </w:p>
    <w:p w14:paraId="4A58F7F1" w14:textId="65196171" w:rsidR="00D62B16" w:rsidRPr="00493247" w:rsidRDefault="00545D29" w:rsidP="00783169">
      <w:pPr>
        <w:spacing w:after="240"/>
        <w:ind w:firstLine="720"/>
        <w:rPr>
          <w:rFonts w:ascii="Times New Roman" w:hAnsi="Times New Roman"/>
          <w:kern w:val="28"/>
          <w:sz w:val="22"/>
          <w:szCs w:val="22"/>
        </w:rPr>
      </w:pPr>
      <w:r w:rsidRPr="00493247">
        <w:rPr>
          <w:rFonts w:ascii="Times New Roman" w:eastAsia="Times New Roman" w:hAnsi="Times New Roman" w:cs="Times New Roman"/>
          <w:sz w:val="22"/>
          <w:szCs w:val="22"/>
        </w:rPr>
        <w:t>This B</w:t>
      </w:r>
      <w:bookmarkStart w:id="0" w:name="_GoBack"/>
      <w:bookmarkEnd w:id="0"/>
      <w:r w:rsidRPr="00493247">
        <w:rPr>
          <w:rFonts w:ascii="Times New Roman" w:eastAsia="Times New Roman" w:hAnsi="Times New Roman" w:cs="Times New Roman"/>
          <w:sz w:val="22"/>
          <w:szCs w:val="22"/>
        </w:rPr>
        <w:t xml:space="preserve">usiness Associate Agreement (“Agreement”) is entered </w:t>
      </w:r>
      <w:r w:rsidR="00783169" w:rsidRPr="00493247">
        <w:rPr>
          <w:rFonts w:ascii="Times New Roman" w:eastAsia="Times New Roman" w:hAnsi="Times New Roman" w:cs="Times New Roman"/>
          <w:sz w:val="22"/>
          <w:szCs w:val="22"/>
        </w:rPr>
        <w:t>into and effective as of _______________ (the “Effective Date”),</w:t>
      </w:r>
      <w:r w:rsidRPr="00493247">
        <w:rPr>
          <w:rFonts w:ascii="Times New Roman" w:eastAsia="Times New Roman" w:hAnsi="Times New Roman" w:cs="Times New Roman"/>
          <w:sz w:val="22"/>
          <w:szCs w:val="22"/>
        </w:rPr>
        <w:t xml:space="preserve"> by and between Manifest MedEx, a C</w:t>
      </w:r>
      <w:r w:rsidRPr="00493247">
        <w:rPr>
          <w:rFonts w:ascii="Times New Roman" w:eastAsia="Times New Roman" w:hAnsi="Times New Roman" w:cs="Times New Roman"/>
          <w:spacing w:val="-3"/>
          <w:sz w:val="22"/>
          <w:szCs w:val="22"/>
        </w:rPr>
        <w:t>a</w:t>
      </w:r>
      <w:r w:rsidRPr="00493247">
        <w:rPr>
          <w:rFonts w:ascii="Times New Roman" w:eastAsia="Times New Roman" w:hAnsi="Times New Roman" w:cs="Times New Roman"/>
          <w:sz w:val="22"/>
          <w:szCs w:val="22"/>
        </w:rPr>
        <w:t>l</w:t>
      </w:r>
      <w:r w:rsidRPr="00493247">
        <w:rPr>
          <w:rFonts w:ascii="Times New Roman" w:eastAsia="Times New Roman" w:hAnsi="Times New Roman" w:cs="Times New Roman"/>
          <w:spacing w:val="-2"/>
          <w:sz w:val="22"/>
          <w:szCs w:val="22"/>
        </w:rPr>
        <w:t>i</w:t>
      </w:r>
      <w:r w:rsidRPr="00493247">
        <w:rPr>
          <w:rFonts w:ascii="Times New Roman" w:eastAsia="Times New Roman" w:hAnsi="Times New Roman" w:cs="Times New Roman"/>
          <w:sz w:val="22"/>
          <w:szCs w:val="22"/>
        </w:rPr>
        <w:t>for</w:t>
      </w:r>
      <w:r w:rsidRPr="00493247">
        <w:rPr>
          <w:rFonts w:ascii="Times New Roman" w:eastAsia="Times New Roman" w:hAnsi="Times New Roman" w:cs="Times New Roman"/>
          <w:spacing w:val="-3"/>
          <w:sz w:val="22"/>
          <w:szCs w:val="22"/>
        </w:rPr>
        <w:t>n</w:t>
      </w:r>
      <w:r w:rsidRPr="00493247">
        <w:rPr>
          <w:rFonts w:ascii="Times New Roman" w:eastAsia="Times New Roman" w:hAnsi="Times New Roman" w:cs="Times New Roman"/>
          <w:sz w:val="22"/>
          <w:szCs w:val="22"/>
        </w:rPr>
        <w:t xml:space="preserve">ia </w:t>
      </w:r>
      <w:r w:rsidRPr="00493247">
        <w:rPr>
          <w:rFonts w:ascii="Times New Roman" w:eastAsia="Times New Roman" w:hAnsi="Times New Roman" w:cs="Times New Roman"/>
          <w:spacing w:val="-4"/>
          <w:sz w:val="22"/>
          <w:szCs w:val="22"/>
        </w:rPr>
        <w:t>no</w:t>
      </w:r>
      <w:r w:rsidR="001F5BF4" w:rsidRPr="00493247">
        <w:rPr>
          <w:rFonts w:ascii="Times New Roman" w:eastAsia="Times New Roman" w:hAnsi="Times New Roman" w:cs="Times New Roman"/>
          <w:spacing w:val="-4"/>
          <w:sz w:val="22"/>
          <w:szCs w:val="22"/>
        </w:rPr>
        <w:t>n</w:t>
      </w:r>
      <w:r w:rsidRPr="00493247">
        <w:rPr>
          <w:rFonts w:ascii="Times New Roman" w:eastAsia="Times New Roman" w:hAnsi="Times New Roman" w:cs="Times New Roman"/>
          <w:spacing w:val="-4"/>
          <w:sz w:val="22"/>
          <w:szCs w:val="22"/>
        </w:rPr>
        <w:t>profit public</w:t>
      </w:r>
      <w:r w:rsidRPr="00493247">
        <w:rPr>
          <w:rFonts w:ascii="Times New Roman" w:eastAsia="Times New Roman" w:hAnsi="Times New Roman" w:cs="Times New Roman"/>
          <w:spacing w:val="1"/>
          <w:sz w:val="22"/>
          <w:szCs w:val="22"/>
        </w:rPr>
        <w:t xml:space="preserve"> </w:t>
      </w:r>
      <w:r w:rsidRPr="00493247">
        <w:rPr>
          <w:rFonts w:ascii="Times New Roman" w:eastAsia="Times New Roman" w:hAnsi="Times New Roman" w:cs="Times New Roman"/>
          <w:sz w:val="22"/>
          <w:szCs w:val="22"/>
        </w:rPr>
        <w:t>b</w:t>
      </w:r>
      <w:r w:rsidRPr="00493247">
        <w:rPr>
          <w:rFonts w:ascii="Times New Roman" w:eastAsia="Times New Roman" w:hAnsi="Times New Roman" w:cs="Times New Roman"/>
          <w:spacing w:val="-2"/>
          <w:sz w:val="22"/>
          <w:szCs w:val="22"/>
        </w:rPr>
        <w:t>e</w:t>
      </w:r>
      <w:r w:rsidRPr="00493247">
        <w:rPr>
          <w:rFonts w:ascii="Times New Roman" w:eastAsia="Times New Roman" w:hAnsi="Times New Roman" w:cs="Times New Roman"/>
          <w:sz w:val="22"/>
          <w:szCs w:val="22"/>
        </w:rPr>
        <w:t>ne</w:t>
      </w:r>
      <w:r w:rsidRPr="00493247">
        <w:rPr>
          <w:rFonts w:ascii="Times New Roman" w:eastAsia="Times New Roman" w:hAnsi="Times New Roman" w:cs="Times New Roman"/>
          <w:spacing w:val="1"/>
          <w:sz w:val="22"/>
          <w:szCs w:val="22"/>
        </w:rPr>
        <w:t>f</w:t>
      </w:r>
      <w:r w:rsidRPr="00493247">
        <w:rPr>
          <w:rFonts w:ascii="Times New Roman" w:eastAsia="Times New Roman" w:hAnsi="Times New Roman" w:cs="Times New Roman"/>
          <w:spacing w:val="-2"/>
          <w:sz w:val="22"/>
          <w:szCs w:val="22"/>
        </w:rPr>
        <w:t>i</w:t>
      </w:r>
      <w:r w:rsidRPr="00493247">
        <w:rPr>
          <w:rFonts w:ascii="Times New Roman" w:eastAsia="Times New Roman" w:hAnsi="Times New Roman" w:cs="Times New Roman"/>
          <w:sz w:val="22"/>
          <w:szCs w:val="22"/>
        </w:rPr>
        <w:t>t</w:t>
      </w:r>
      <w:r w:rsidRPr="00493247">
        <w:rPr>
          <w:rFonts w:ascii="Times New Roman" w:eastAsia="Times New Roman" w:hAnsi="Times New Roman" w:cs="Times New Roman"/>
          <w:spacing w:val="1"/>
          <w:sz w:val="22"/>
          <w:szCs w:val="22"/>
        </w:rPr>
        <w:t xml:space="preserve"> </w:t>
      </w:r>
      <w:r w:rsidRPr="00493247">
        <w:rPr>
          <w:rFonts w:ascii="Times New Roman" w:eastAsia="Times New Roman" w:hAnsi="Times New Roman" w:cs="Times New Roman"/>
          <w:spacing w:val="-2"/>
          <w:sz w:val="22"/>
          <w:szCs w:val="22"/>
        </w:rPr>
        <w:t>c</w:t>
      </w:r>
      <w:r w:rsidRPr="00493247">
        <w:rPr>
          <w:rFonts w:ascii="Times New Roman" w:eastAsia="Times New Roman" w:hAnsi="Times New Roman" w:cs="Times New Roman"/>
          <w:sz w:val="22"/>
          <w:szCs w:val="22"/>
        </w:rPr>
        <w:t>orp</w:t>
      </w:r>
      <w:r w:rsidRPr="00493247">
        <w:rPr>
          <w:rFonts w:ascii="Times New Roman" w:eastAsia="Times New Roman" w:hAnsi="Times New Roman" w:cs="Times New Roman"/>
          <w:spacing w:val="-3"/>
          <w:sz w:val="22"/>
          <w:szCs w:val="22"/>
        </w:rPr>
        <w:t>o</w:t>
      </w:r>
      <w:r w:rsidRPr="00493247">
        <w:rPr>
          <w:rFonts w:ascii="Times New Roman" w:eastAsia="Times New Roman" w:hAnsi="Times New Roman" w:cs="Times New Roman"/>
          <w:sz w:val="22"/>
          <w:szCs w:val="22"/>
        </w:rPr>
        <w:t>r</w:t>
      </w:r>
      <w:r w:rsidRPr="00493247">
        <w:rPr>
          <w:rFonts w:ascii="Times New Roman" w:eastAsia="Times New Roman" w:hAnsi="Times New Roman" w:cs="Times New Roman"/>
          <w:spacing w:val="-2"/>
          <w:sz w:val="22"/>
          <w:szCs w:val="22"/>
        </w:rPr>
        <w:t>a</w:t>
      </w:r>
      <w:r w:rsidRPr="00493247">
        <w:rPr>
          <w:rFonts w:ascii="Times New Roman" w:eastAsia="Times New Roman" w:hAnsi="Times New Roman" w:cs="Times New Roman"/>
          <w:sz w:val="22"/>
          <w:szCs w:val="22"/>
        </w:rPr>
        <w:t>ti</w:t>
      </w:r>
      <w:r w:rsidRPr="00493247">
        <w:rPr>
          <w:rFonts w:ascii="Times New Roman" w:eastAsia="Times New Roman" w:hAnsi="Times New Roman" w:cs="Times New Roman"/>
          <w:spacing w:val="-3"/>
          <w:sz w:val="22"/>
          <w:szCs w:val="22"/>
        </w:rPr>
        <w:t>o</w:t>
      </w:r>
      <w:r w:rsidRPr="00493247">
        <w:rPr>
          <w:rFonts w:ascii="Times New Roman" w:eastAsia="Times New Roman" w:hAnsi="Times New Roman" w:cs="Times New Roman"/>
          <w:sz w:val="22"/>
          <w:szCs w:val="22"/>
        </w:rPr>
        <w:t>n (“</w:t>
      </w:r>
      <w:r w:rsidRPr="00493247">
        <w:rPr>
          <w:rFonts w:ascii="Times New Roman" w:eastAsia="Times New Roman" w:hAnsi="Times New Roman" w:cs="Times New Roman"/>
          <w:b/>
          <w:bCs/>
          <w:spacing w:val="1"/>
          <w:sz w:val="22"/>
          <w:szCs w:val="22"/>
        </w:rPr>
        <w:t>B</w:t>
      </w:r>
      <w:r w:rsidRPr="00493247">
        <w:rPr>
          <w:rFonts w:ascii="Times New Roman" w:eastAsia="Times New Roman" w:hAnsi="Times New Roman" w:cs="Times New Roman"/>
          <w:b/>
          <w:bCs/>
          <w:spacing w:val="-3"/>
          <w:sz w:val="22"/>
          <w:szCs w:val="22"/>
        </w:rPr>
        <w:t>u</w:t>
      </w:r>
      <w:r w:rsidRPr="00493247">
        <w:rPr>
          <w:rFonts w:ascii="Times New Roman" w:eastAsia="Times New Roman" w:hAnsi="Times New Roman" w:cs="Times New Roman"/>
          <w:b/>
          <w:bCs/>
          <w:sz w:val="22"/>
          <w:szCs w:val="22"/>
        </w:rPr>
        <w:t>s</w:t>
      </w:r>
      <w:r w:rsidRPr="00493247">
        <w:rPr>
          <w:rFonts w:ascii="Times New Roman" w:eastAsia="Times New Roman" w:hAnsi="Times New Roman" w:cs="Times New Roman"/>
          <w:b/>
          <w:bCs/>
          <w:spacing w:val="1"/>
          <w:sz w:val="22"/>
          <w:szCs w:val="22"/>
        </w:rPr>
        <w:t>i</w:t>
      </w:r>
      <w:r w:rsidRPr="00493247">
        <w:rPr>
          <w:rFonts w:ascii="Times New Roman" w:eastAsia="Times New Roman" w:hAnsi="Times New Roman" w:cs="Times New Roman"/>
          <w:b/>
          <w:bCs/>
          <w:sz w:val="22"/>
          <w:szCs w:val="22"/>
        </w:rPr>
        <w:t>n</w:t>
      </w:r>
      <w:r w:rsidRPr="00493247">
        <w:rPr>
          <w:rFonts w:ascii="Times New Roman" w:eastAsia="Times New Roman" w:hAnsi="Times New Roman" w:cs="Times New Roman"/>
          <w:b/>
          <w:bCs/>
          <w:spacing w:val="-3"/>
          <w:sz w:val="22"/>
          <w:szCs w:val="22"/>
        </w:rPr>
        <w:t>e</w:t>
      </w:r>
      <w:r w:rsidRPr="00493247">
        <w:rPr>
          <w:rFonts w:ascii="Times New Roman" w:eastAsia="Times New Roman" w:hAnsi="Times New Roman" w:cs="Times New Roman"/>
          <w:b/>
          <w:bCs/>
          <w:spacing w:val="-2"/>
          <w:sz w:val="22"/>
          <w:szCs w:val="22"/>
        </w:rPr>
        <w:t>s</w:t>
      </w:r>
      <w:r w:rsidRPr="00493247">
        <w:rPr>
          <w:rFonts w:ascii="Times New Roman" w:eastAsia="Times New Roman" w:hAnsi="Times New Roman" w:cs="Times New Roman"/>
          <w:b/>
          <w:bCs/>
          <w:sz w:val="22"/>
          <w:szCs w:val="22"/>
        </w:rPr>
        <w:t>s Asso</w:t>
      </w:r>
      <w:r w:rsidRPr="00493247">
        <w:rPr>
          <w:rFonts w:ascii="Times New Roman" w:eastAsia="Times New Roman" w:hAnsi="Times New Roman" w:cs="Times New Roman"/>
          <w:b/>
          <w:bCs/>
          <w:spacing w:val="-2"/>
          <w:sz w:val="22"/>
          <w:szCs w:val="22"/>
        </w:rPr>
        <w:t>c</w:t>
      </w:r>
      <w:r w:rsidRPr="00493247">
        <w:rPr>
          <w:rFonts w:ascii="Times New Roman" w:eastAsia="Times New Roman" w:hAnsi="Times New Roman" w:cs="Times New Roman"/>
          <w:b/>
          <w:bCs/>
          <w:sz w:val="22"/>
          <w:szCs w:val="22"/>
        </w:rPr>
        <w:t>ia</w:t>
      </w:r>
      <w:r w:rsidRPr="00493247">
        <w:rPr>
          <w:rFonts w:ascii="Times New Roman" w:eastAsia="Times New Roman" w:hAnsi="Times New Roman" w:cs="Times New Roman"/>
          <w:b/>
          <w:bCs/>
          <w:spacing w:val="-2"/>
          <w:sz w:val="22"/>
          <w:szCs w:val="22"/>
        </w:rPr>
        <w:t>t</w:t>
      </w:r>
      <w:r w:rsidRPr="00493247">
        <w:rPr>
          <w:rFonts w:ascii="Times New Roman" w:eastAsia="Times New Roman" w:hAnsi="Times New Roman" w:cs="Times New Roman"/>
          <w:b/>
          <w:bCs/>
          <w:spacing w:val="1"/>
          <w:sz w:val="22"/>
          <w:szCs w:val="22"/>
        </w:rPr>
        <w:t>e</w:t>
      </w:r>
      <w:r w:rsidRPr="00493247">
        <w:rPr>
          <w:rFonts w:ascii="Times New Roman" w:eastAsia="Times New Roman" w:hAnsi="Times New Roman" w:cs="Times New Roman"/>
          <w:spacing w:val="-2"/>
          <w:sz w:val="22"/>
          <w:szCs w:val="22"/>
        </w:rPr>
        <w:t>”</w:t>
      </w:r>
      <w:r w:rsidRPr="00493247">
        <w:rPr>
          <w:rFonts w:ascii="Times New Roman" w:eastAsia="Times New Roman" w:hAnsi="Times New Roman" w:cs="Times New Roman"/>
          <w:sz w:val="22"/>
          <w:szCs w:val="22"/>
        </w:rPr>
        <w:t>)</w:t>
      </w:r>
      <w:r w:rsidR="00D1451D" w:rsidRPr="00493247">
        <w:rPr>
          <w:rFonts w:ascii="Times New Roman" w:hAnsi="Times New Roman"/>
          <w:kern w:val="28"/>
          <w:sz w:val="22"/>
          <w:szCs w:val="22"/>
        </w:rPr>
        <w:t>,</w:t>
      </w:r>
      <w:r w:rsidR="00D62B16" w:rsidRPr="00493247">
        <w:rPr>
          <w:rFonts w:ascii="Times New Roman" w:hAnsi="Times New Roman"/>
          <w:kern w:val="28"/>
          <w:sz w:val="22"/>
          <w:szCs w:val="22"/>
        </w:rPr>
        <w:t xml:space="preserve"> and </w:t>
      </w:r>
      <w:r w:rsidR="0073349E" w:rsidRPr="00493247">
        <w:rPr>
          <w:rFonts w:ascii="Times New Roman" w:hAnsi="Times New Roman"/>
          <w:kern w:val="28"/>
          <w:sz w:val="22"/>
          <w:szCs w:val="22"/>
        </w:rPr>
        <w:t>_____________________________</w:t>
      </w:r>
      <w:r w:rsidR="00D62B16" w:rsidRPr="00493247">
        <w:rPr>
          <w:rFonts w:ascii="Times New Roman" w:hAnsi="Times New Roman"/>
          <w:kern w:val="28"/>
          <w:sz w:val="22"/>
          <w:szCs w:val="22"/>
        </w:rPr>
        <w:t xml:space="preserve"> (“</w:t>
      </w:r>
      <w:r w:rsidR="00D62B16" w:rsidRPr="00493247">
        <w:rPr>
          <w:rFonts w:ascii="Times New Roman" w:hAnsi="Times New Roman"/>
          <w:b/>
          <w:kern w:val="28"/>
          <w:sz w:val="22"/>
          <w:szCs w:val="22"/>
        </w:rPr>
        <w:t>Covered Entity</w:t>
      </w:r>
      <w:r w:rsidR="00783169" w:rsidRPr="00493247">
        <w:rPr>
          <w:rFonts w:ascii="Times New Roman" w:hAnsi="Times New Roman"/>
          <w:kern w:val="28"/>
          <w:sz w:val="22"/>
          <w:szCs w:val="22"/>
        </w:rPr>
        <w:t>”)</w:t>
      </w:r>
      <w:r w:rsidRPr="00493247">
        <w:rPr>
          <w:rFonts w:ascii="Times New Roman" w:hAnsi="Times New Roman"/>
          <w:kern w:val="28"/>
          <w:sz w:val="22"/>
          <w:szCs w:val="22"/>
        </w:rPr>
        <w:t xml:space="preserve">. Both parties </w:t>
      </w:r>
      <w:r w:rsidR="00D62B16" w:rsidRPr="00493247">
        <w:rPr>
          <w:rFonts w:ascii="Times New Roman" w:hAnsi="Times New Roman"/>
          <w:kern w:val="28"/>
          <w:sz w:val="22"/>
          <w:szCs w:val="22"/>
        </w:rPr>
        <w:t>hereby agree to this Business Associate Agreement (this “</w:t>
      </w:r>
      <w:r w:rsidR="00D62B16" w:rsidRPr="00493247">
        <w:rPr>
          <w:rFonts w:ascii="Times New Roman" w:hAnsi="Times New Roman"/>
          <w:b/>
          <w:kern w:val="28"/>
          <w:sz w:val="22"/>
          <w:szCs w:val="22"/>
        </w:rPr>
        <w:t>BAA</w:t>
      </w:r>
      <w:r w:rsidR="00D62B16" w:rsidRPr="00493247">
        <w:rPr>
          <w:rFonts w:ascii="Times New Roman" w:hAnsi="Times New Roman"/>
          <w:kern w:val="28"/>
          <w:sz w:val="22"/>
          <w:szCs w:val="22"/>
        </w:rPr>
        <w:t>”)</w:t>
      </w:r>
      <w:r w:rsidR="00783169" w:rsidRPr="00493247">
        <w:rPr>
          <w:rFonts w:ascii="Times New Roman" w:hAnsi="Times New Roman"/>
          <w:kern w:val="28"/>
          <w:sz w:val="22"/>
          <w:szCs w:val="22"/>
        </w:rPr>
        <w:t xml:space="preserve"> and are referred to in this Agreement individually as a “</w:t>
      </w:r>
      <w:r w:rsidR="00783169" w:rsidRPr="00493247">
        <w:rPr>
          <w:rFonts w:ascii="Times New Roman" w:hAnsi="Times New Roman"/>
          <w:b/>
          <w:kern w:val="28"/>
          <w:sz w:val="22"/>
          <w:szCs w:val="22"/>
        </w:rPr>
        <w:t>Party</w:t>
      </w:r>
      <w:r w:rsidR="00783169" w:rsidRPr="00493247">
        <w:rPr>
          <w:rFonts w:ascii="Times New Roman" w:hAnsi="Times New Roman"/>
          <w:kern w:val="28"/>
          <w:sz w:val="22"/>
          <w:szCs w:val="22"/>
        </w:rPr>
        <w:t>” or collectively as the “</w:t>
      </w:r>
      <w:r w:rsidR="00783169" w:rsidRPr="00493247">
        <w:rPr>
          <w:rFonts w:ascii="Times New Roman" w:hAnsi="Times New Roman"/>
          <w:b/>
          <w:kern w:val="28"/>
          <w:sz w:val="22"/>
          <w:szCs w:val="22"/>
        </w:rPr>
        <w:t>Parties</w:t>
      </w:r>
      <w:r w:rsidR="00783169" w:rsidRPr="00493247">
        <w:rPr>
          <w:rFonts w:ascii="Times New Roman" w:hAnsi="Times New Roman"/>
          <w:kern w:val="28"/>
          <w:sz w:val="22"/>
          <w:szCs w:val="22"/>
        </w:rPr>
        <w:t>.”</w:t>
      </w:r>
    </w:p>
    <w:p w14:paraId="522CBBC2" w14:textId="77777777" w:rsidR="00D62B16" w:rsidRPr="00493247" w:rsidRDefault="00D62B16" w:rsidP="00D62B16">
      <w:pPr>
        <w:pStyle w:val="Title"/>
        <w:rPr>
          <w:sz w:val="22"/>
        </w:rPr>
      </w:pPr>
      <w:r w:rsidRPr="00493247">
        <w:rPr>
          <w:sz w:val="22"/>
        </w:rPr>
        <w:t>Recitals</w:t>
      </w:r>
    </w:p>
    <w:p w14:paraId="4155F1F0" w14:textId="08BCEE31" w:rsidR="00D62B16" w:rsidRPr="00493247" w:rsidRDefault="005F5A25" w:rsidP="005F5A25">
      <w:pPr>
        <w:spacing w:after="240"/>
        <w:ind w:firstLine="720"/>
        <w:rPr>
          <w:rFonts w:ascii="Times New Roman" w:hAnsi="Times New Roman"/>
          <w:kern w:val="28"/>
          <w:sz w:val="22"/>
        </w:rPr>
      </w:pPr>
      <w:r w:rsidRPr="00493247">
        <w:rPr>
          <w:rFonts w:ascii="Times New Roman" w:hAnsi="Times New Roman"/>
          <w:kern w:val="28"/>
          <w:sz w:val="22"/>
        </w:rPr>
        <w:t>A.</w:t>
      </w:r>
      <w:r w:rsidRPr="00493247">
        <w:rPr>
          <w:rFonts w:ascii="Times New Roman" w:hAnsi="Times New Roman"/>
          <w:kern w:val="28"/>
          <w:sz w:val="22"/>
        </w:rPr>
        <w:tab/>
      </w:r>
      <w:r w:rsidR="00D62B16" w:rsidRPr="00493247">
        <w:rPr>
          <w:rFonts w:ascii="Times New Roman" w:hAnsi="Times New Roman"/>
          <w:kern w:val="28"/>
          <w:sz w:val="22"/>
        </w:rPr>
        <w:t>Covered Entity and Business Associate have entered into an agreement (the “Participation Agreement”) pursuant to which Business Associate provides to Covered Entity certain services that now or in the future shall include</w:t>
      </w:r>
      <w:r w:rsidRPr="00493247">
        <w:rPr>
          <w:rFonts w:ascii="Times New Roman" w:hAnsi="Times New Roman"/>
          <w:kern w:val="28"/>
          <w:sz w:val="22"/>
        </w:rPr>
        <w:t xml:space="preserve"> </w:t>
      </w:r>
      <w:r w:rsidR="00D62B16" w:rsidRPr="00493247">
        <w:rPr>
          <w:rFonts w:ascii="Times New Roman" w:hAnsi="Times New Roman"/>
          <w:kern w:val="28"/>
          <w:sz w:val="22"/>
        </w:rPr>
        <w:t xml:space="preserve">the creation, receipt, maintenance and/or transmission of “protected health information” (as defined in HIPAA), on behalf of Covered Entity, for a function or activity regulated by HIPAA.  </w:t>
      </w:r>
    </w:p>
    <w:p w14:paraId="463D467C" w14:textId="77777777" w:rsidR="00D62B16" w:rsidRPr="00493247" w:rsidRDefault="00D62B16" w:rsidP="00D62B16">
      <w:pPr>
        <w:pStyle w:val="Title"/>
        <w:rPr>
          <w:sz w:val="22"/>
        </w:rPr>
      </w:pPr>
      <w:r w:rsidRPr="00493247">
        <w:rPr>
          <w:sz w:val="22"/>
        </w:rPr>
        <w:t>Agreement</w:t>
      </w:r>
    </w:p>
    <w:p w14:paraId="37C5EE58" w14:textId="77777777" w:rsidR="00D62B16" w:rsidRPr="00493247" w:rsidRDefault="00D62B16" w:rsidP="00D62B16">
      <w:pPr>
        <w:spacing w:after="240"/>
        <w:rPr>
          <w:rFonts w:ascii="Times New Roman" w:hAnsi="Times New Roman"/>
          <w:kern w:val="28"/>
          <w:sz w:val="22"/>
        </w:rPr>
      </w:pPr>
      <w:r w:rsidRPr="00493247">
        <w:rPr>
          <w:rFonts w:ascii="Times New Roman" w:hAnsi="Times New Roman"/>
          <w:kern w:val="28"/>
          <w:sz w:val="22"/>
        </w:rPr>
        <w:t>In consideration of the foregoing recitals and the promises set forth herein, the Parties agree as follows:</w:t>
      </w:r>
    </w:p>
    <w:p w14:paraId="3F558401" w14:textId="19BC0FDC" w:rsidR="00D62B16" w:rsidRPr="00493247" w:rsidRDefault="00D62B16" w:rsidP="00D62B16">
      <w:pPr>
        <w:pStyle w:val="StandardL1"/>
        <w:adjustRightInd/>
        <w:ind w:firstLine="0"/>
        <w:jc w:val="left"/>
        <w:outlineLvl w:val="9"/>
        <w:rPr>
          <w:rFonts w:eastAsia="SimSun"/>
          <w:sz w:val="22"/>
        </w:rPr>
      </w:pPr>
      <w:r w:rsidRPr="00493247">
        <w:rPr>
          <w:kern w:val="28"/>
          <w:sz w:val="22"/>
          <w:u w:val="single"/>
        </w:rPr>
        <w:t>Definitions</w:t>
      </w:r>
      <w:r w:rsidRPr="00493247">
        <w:rPr>
          <w:kern w:val="28"/>
          <w:sz w:val="22"/>
        </w:rPr>
        <w:t>.  All terms used in this BAA not specifically defined otherwise below shall have the same definitions as given to them under HIPAA.</w:t>
      </w:r>
    </w:p>
    <w:p w14:paraId="3529E347" w14:textId="2DC186DA" w:rsidR="00D62B16" w:rsidRPr="00493247" w:rsidRDefault="004803A5" w:rsidP="00D62B16">
      <w:pPr>
        <w:pStyle w:val="StandardL2"/>
        <w:adjustRightInd/>
        <w:jc w:val="left"/>
        <w:rPr>
          <w:rFonts w:eastAsia="SimSun"/>
          <w:kern w:val="28"/>
          <w:sz w:val="22"/>
          <w:szCs w:val="22"/>
        </w:rPr>
      </w:pPr>
      <w:r w:rsidRPr="00493247">
        <w:rPr>
          <w:rFonts w:eastAsia="SimSun"/>
          <w:kern w:val="28"/>
          <w:sz w:val="22"/>
        </w:rPr>
        <w:t xml:space="preserve"> </w:t>
      </w:r>
      <w:r w:rsidR="00D62B16" w:rsidRPr="00493247">
        <w:rPr>
          <w:rFonts w:eastAsia="SimSun"/>
          <w:kern w:val="28"/>
          <w:sz w:val="22"/>
        </w:rPr>
        <w:t>“</w:t>
      </w:r>
      <w:r w:rsidR="00D62B16" w:rsidRPr="00493247">
        <w:rPr>
          <w:rFonts w:eastAsia="SimSun"/>
          <w:kern w:val="28"/>
          <w:sz w:val="22"/>
          <w:szCs w:val="22"/>
        </w:rPr>
        <w:t>PHI” or “Protected Health Information” is defined as these terms are defined at 45 C.F.R. § 164.103, except that as used herein, the term shall refer only to Protected Health Information that Business Associate creates, receives, maintains or transmits on behalf of or from Covered Entity.</w:t>
      </w:r>
    </w:p>
    <w:p w14:paraId="2300FE00" w14:textId="46CE5F77" w:rsidR="00D62B16" w:rsidRPr="00493247" w:rsidRDefault="00D62B16" w:rsidP="008C1953">
      <w:pPr>
        <w:pStyle w:val="StandardL2"/>
        <w:numPr>
          <w:ilvl w:val="0"/>
          <w:numId w:val="2"/>
        </w:numPr>
        <w:tabs>
          <w:tab w:val="clear" w:pos="720"/>
          <w:tab w:val="clear" w:pos="1440"/>
        </w:tabs>
        <w:adjustRightInd/>
        <w:ind w:firstLine="0"/>
        <w:jc w:val="left"/>
        <w:rPr>
          <w:kern w:val="28"/>
          <w:sz w:val="22"/>
        </w:rPr>
      </w:pPr>
      <w:bookmarkStart w:id="1" w:name="_BPDC_LN_INS_1009"/>
      <w:bookmarkEnd w:id="1"/>
      <w:r w:rsidRPr="00493247">
        <w:rPr>
          <w:kern w:val="28"/>
          <w:sz w:val="22"/>
          <w:u w:val="single"/>
        </w:rPr>
        <w:t>Obligations of Business Associate</w:t>
      </w:r>
      <w:r w:rsidRPr="00493247">
        <w:rPr>
          <w:kern w:val="28"/>
          <w:sz w:val="22"/>
        </w:rPr>
        <w:t>.</w:t>
      </w:r>
    </w:p>
    <w:p w14:paraId="781D0C5B"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Compliance with Regulatory Obligations of Business Associate</w:t>
      </w:r>
      <w:r w:rsidRPr="00493247">
        <w:rPr>
          <w:rFonts w:ascii="Times New Roman" w:hAnsi="Times New Roman"/>
          <w:kern w:val="28"/>
          <w:sz w:val="22"/>
        </w:rPr>
        <w:t>. Business Associate shall perform and comply with all the applicable obligations and requirements imposed upon business associates pursuant to HIPAA.</w:t>
      </w:r>
      <w:bookmarkStart w:id="2" w:name="_Ref347221734"/>
    </w:p>
    <w:p w14:paraId="0D6FEE68" w14:textId="03EB7596" w:rsidR="00D62B16" w:rsidRPr="00493247" w:rsidRDefault="00D62B16" w:rsidP="00D62B16">
      <w:pPr>
        <w:keepLines/>
        <w:numPr>
          <w:ilvl w:val="1"/>
          <w:numId w:val="2"/>
        </w:numPr>
        <w:spacing w:after="240"/>
        <w:rPr>
          <w:rFonts w:ascii="Times New Roman" w:hAnsi="Times New Roman"/>
          <w:kern w:val="28"/>
          <w:sz w:val="22"/>
        </w:rPr>
      </w:pPr>
      <w:r w:rsidRPr="00493247">
        <w:rPr>
          <w:rFonts w:ascii="Times New Roman" w:hAnsi="Times New Roman"/>
          <w:kern w:val="28"/>
          <w:sz w:val="22"/>
          <w:u w:val="single"/>
        </w:rPr>
        <w:t>Permitted Use and Disclosure of PHI</w:t>
      </w:r>
      <w:r w:rsidRPr="00493247">
        <w:rPr>
          <w:rFonts w:ascii="Times New Roman" w:hAnsi="Times New Roman"/>
          <w:kern w:val="28"/>
          <w:sz w:val="22"/>
        </w:rPr>
        <w:t>.  Business Associate shall use and disclose PHI only as necessary to perform Business Associate’s obligations, functions, activities and/or services under the Participation Agreement, and, subject to the limitations of the Participation Agreement, as otherwise permitted or required by this BAA, or by HIPAA or required by Law.</w:t>
      </w:r>
      <w:bookmarkEnd w:id="2"/>
      <w:r w:rsidRPr="00493247">
        <w:rPr>
          <w:rFonts w:ascii="Times New Roman" w:hAnsi="Times New Roman"/>
          <w:kern w:val="28"/>
          <w:sz w:val="22"/>
        </w:rPr>
        <w:t xml:space="preserve">  Business Associate shall not use or disclose PHI in any manner that would violate the requirements of HIPAA if done by Covered Entity</w:t>
      </w:r>
      <w:r w:rsidRPr="00493247">
        <w:rPr>
          <w:rFonts w:ascii="Times New Roman" w:hAnsi="Times New Roman"/>
          <w:kern w:val="28"/>
          <w:sz w:val="22"/>
          <w:u w:color="0000FF"/>
        </w:rPr>
        <w:t>.</w:t>
      </w:r>
    </w:p>
    <w:p w14:paraId="1A19BC43"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Specified Permitted Uses of PHI</w:t>
      </w:r>
      <w:r w:rsidRPr="00493247">
        <w:rPr>
          <w:rFonts w:ascii="Times New Roman" w:hAnsi="Times New Roman"/>
          <w:kern w:val="28"/>
          <w:sz w:val="22"/>
        </w:rPr>
        <w:t>.  Without limiting the generality of Section 2(b) (</w:t>
      </w:r>
      <w:r w:rsidRPr="00493247">
        <w:rPr>
          <w:rFonts w:ascii="Times New Roman" w:hAnsi="Times New Roman"/>
          <w:kern w:val="28"/>
          <w:sz w:val="22"/>
          <w:u w:val="single"/>
        </w:rPr>
        <w:t>Permitted Use and Disclosure of PHI</w:t>
      </w:r>
      <w:r w:rsidRPr="00493247">
        <w:rPr>
          <w:rFonts w:ascii="Times New Roman" w:hAnsi="Times New Roman"/>
          <w:kern w:val="28"/>
          <w:sz w:val="22"/>
        </w:rPr>
        <w:t>), but subject to the limitations of the Participation Agreement, Business Associate may use PHI as follows, if necessary:</w:t>
      </w:r>
    </w:p>
    <w:p w14:paraId="68581DD2"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rPr>
        <w:t>For the proper management and administration of Business Associate.</w:t>
      </w:r>
    </w:p>
    <w:p w14:paraId="177CE612"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rPr>
        <w:t>To carry out the legal responsibilities of Business Associate.</w:t>
      </w:r>
    </w:p>
    <w:p w14:paraId="2D92FFC8"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rPr>
        <w:t>To provide data aggregation services relating to the health care operations of Covered Entity if and to the extent provided by the Participation Agreement.</w:t>
      </w:r>
    </w:p>
    <w:p w14:paraId="7B6B5AD1"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rPr>
        <w:t>To perform services related to the creation of De-Identified Data.</w:t>
      </w:r>
    </w:p>
    <w:p w14:paraId="608808D9"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lastRenderedPageBreak/>
        <w:t>Specified Permitted Disclosures of PHI</w:t>
      </w:r>
      <w:r w:rsidRPr="00493247">
        <w:rPr>
          <w:rFonts w:ascii="Times New Roman" w:hAnsi="Times New Roman"/>
          <w:kern w:val="28"/>
          <w:sz w:val="22"/>
        </w:rPr>
        <w:t>.  Without limiting the generality of Section 2(b) (</w:t>
      </w:r>
      <w:r w:rsidRPr="00493247">
        <w:rPr>
          <w:rFonts w:ascii="Times New Roman" w:hAnsi="Times New Roman"/>
          <w:kern w:val="28"/>
          <w:sz w:val="22"/>
          <w:u w:val="single"/>
        </w:rPr>
        <w:t>Permitted Use and Disclosure of PHI</w:t>
      </w:r>
      <w:r w:rsidRPr="00493247">
        <w:rPr>
          <w:rFonts w:ascii="Times New Roman" w:hAnsi="Times New Roman"/>
          <w:kern w:val="28"/>
          <w:sz w:val="22"/>
        </w:rPr>
        <w:t>), Business Associate may disclose PHI as follows:</w:t>
      </w:r>
    </w:p>
    <w:p w14:paraId="5DC84FA9"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rPr>
        <w:t>For the proper management and administration of Business Associate  or to carry out the legal responsibilities of Business Associate if:</w:t>
      </w:r>
    </w:p>
    <w:p w14:paraId="68A4F6A3" w14:textId="77777777" w:rsidR="00D62B16" w:rsidRPr="00493247" w:rsidRDefault="00D62B16" w:rsidP="00D62B16">
      <w:pPr>
        <w:numPr>
          <w:ilvl w:val="3"/>
          <w:numId w:val="2"/>
        </w:numPr>
        <w:spacing w:after="240"/>
        <w:rPr>
          <w:rFonts w:ascii="Times New Roman" w:hAnsi="Times New Roman"/>
          <w:kern w:val="28"/>
          <w:sz w:val="22"/>
        </w:rPr>
      </w:pPr>
      <w:r w:rsidRPr="00493247">
        <w:rPr>
          <w:rFonts w:ascii="Times New Roman" w:hAnsi="Times New Roman"/>
          <w:kern w:val="28"/>
          <w:sz w:val="22"/>
        </w:rPr>
        <w:t>If the disclosure is required by Law; or</w:t>
      </w:r>
    </w:p>
    <w:p w14:paraId="1B96A8CE" w14:textId="77777777" w:rsidR="00D62B16" w:rsidRPr="00493247" w:rsidRDefault="00D62B16" w:rsidP="00D62B16">
      <w:pPr>
        <w:numPr>
          <w:ilvl w:val="3"/>
          <w:numId w:val="2"/>
        </w:numPr>
        <w:spacing w:after="240"/>
        <w:rPr>
          <w:rFonts w:ascii="Times New Roman" w:hAnsi="Times New Roman"/>
          <w:kern w:val="28"/>
          <w:sz w:val="22"/>
        </w:rPr>
      </w:pPr>
      <w:r w:rsidRPr="00493247">
        <w:rPr>
          <w:rFonts w:ascii="Times New Roman" w:hAnsi="Times New Roman"/>
          <w:kern w:val="28"/>
          <w:sz w:val="22"/>
        </w:rPr>
        <w:t>If Business Associate obtains reasonable assurances from the person to whom the information is disclosed that it will be held confidentially and used or further disclosed only as required by Law or for the purposes for which it was disclosed to the person, and</w:t>
      </w:r>
      <w:r w:rsidRPr="00493247">
        <w:rPr>
          <w:rFonts w:ascii="Times New Roman" w:hAnsi="Times New Roman"/>
          <w:i/>
          <w:kern w:val="28"/>
          <w:sz w:val="22"/>
        </w:rPr>
        <w:t xml:space="preserve"> </w:t>
      </w:r>
      <w:r w:rsidRPr="00493247">
        <w:rPr>
          <w:rFonts w:ascii="Times New Roman" w:hAnsi="Times New Roman"/>
          <w:kern w:val="28"/>
          <w:sz w:val="22"/>
        </w:rPr>
        <w:t>if the person promptly notifies Business Associate of any instances of which it is aware in which the confidentiality of the information has been breached.</w:t>
      </w:r>
    </w:p>
    <w:p w14:paraId="7DD6954A" w14:textId="0AD23DF3" w:rsidR="00D62B16" w:rsidRPr="00493247" w:rsidRDefault="00D62B16" w:rsidP="00D62B16">
      <w:pPr>
        <w:pStyle w:val="StandardL2"/>
        <w:adjustRightInd/>
        <w:jc w:val="left"/>
        <w:rPr>
          <w:rFonts w:eastAsia="SimSun"/>
          <w:kern w:val="28"/>
          <w:sz w:val="22"/>
        </w:rPr>
      </w:pPr>
      <w:bookmarkStart w:id="3" w:name="_Ref347662426"/>
      <w:r w:rsidRPr="00493247">
        <w:rPr>
          <w:rFonts w:eastAsia="SimSun"/>
          <w:kern w:val="28"/>
          <w:sz w:val="22"/>
          <w:u w:val="single"/>
        </w:rPr>
        <w:t>Safeguards</w:t>
      </w:r>
      <w:r w:rsidRPr="00493247">
        <w:rPr>
          <w:rFonts w:eastAsia="SimSun"/>
          <w:kern w:val="28"/>
          <w:sz w:val="22"/>
        </w:rPr>
        <w:t>.  Business Associate shall use appropriate safeguards and comply, where applicable, with 45 C.F.R. §§ 164.302 through 164.316 with respect to electronic PHI, and will apply appropriate safeguards to prevent use or disclosure of the PHI in any form, including electronic form other than as provided for by this BAA</w:t>
      </w:r>
      <w:r w:rsidR="00B7087A" w:rsidRPr="00493247">
        <w:rPr>
          <w:rFonts w:eastAsia="SimSun"/>
          <w:kern w:val="28"/>
          <w:sz w:val="22"/>
        </w:rPr>
        <w:t>.</w:t>
      </w:r>
      <w:r w:rsidRPr="00493247">
        <w:rPr>
          <w:rFonts w:eastAsia="SimSun"/>
          <w:kern w:val="28"/>
          <w:sz w:val="22"/>
        </w:rPr>
        <w:t xml:space="preserve"> </w:t>
      </w:r>
      <w:bookmarkStart w:id="4" w:name="_Ref347228740"/>
      <w:bookmarkEnd w:id="3"/>
    </w:p>
    <w:p w14:paraId="2C2A2967" w14:textId="5D6D23D3"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Reporting Unauthorized Uses and Disclosures</w:t>
      </w:r>
      <w:r w:rsidRPr="00493247">
        <w:rPr>
          <w:rFonts w:ascii="Times New Roman" w:hAnsi="Times New Roman"/>
          <w:kern w:val="28"/>
          <w:sz w:val="22"/>
        </w:rPr>
        <w:t>.  Business Associate shall report to Covered Entity, without unreasonable delay, and in accordance with the deadlines provided below, any use or disclosure of PHI not permitted by this BAA of which Business Associate becomes aware, including any use or disclosure involving PHI and any Breach of Privacy or Security as defined herein. Without limiting the generality of the foregoing</w:t>
      </w:r>
      <w:bookmarkEnd w:id="4"/>
      <w:r w:rsidRPr="00493247">
        <w:rPr>
          <w:rFonts w:ascii="Times New Roman" w:hAnsi="Times New Roman"/>
          <w:kern w:val="28"/>
          <w:sz w:val="22"/>
        </w:rPr>
        <w:t>:</w:t>
      </w:r>
    </w:p>
    <w:p w14:paraId="68830F16" w14:textId="77777777" w:rsidR="00D62B16" w:rsidRPr="00493247" w:rsidRDefault="00D62B16" w:rsidP="00D62B16">
      <w:pPr>
        <w:numPr>
          <w:ilvl w:val="2"/>
          <w:numId w:val="2"/>
        </w:numPr>
        <w:spacing w:after="240"/>
        <w:rPr>
          <w:rFonts w:ascii="Times New Roman" w:hAnsi="Times New Roman"/>
          <w:kern w:val="28"/>
          <w:sz w:val="22"/>
        </w:rPr>
      </w:pPr>
      <w:r w:rsidRPr="00493247">
        <w:rPr>
          <w:rFonts w:ascii="Times New Roman" w:hAnsi="Times New Roman"/>
          <w:kern w:val="28"/>
          <w:sz w:val="22"/>
          <w:u w:val="single"/>
        </w:rPr>
        <w:t>Reporting of Breaches of Privacy or Security</w:t>
      </w:r>
      <w:r w:rsidRPr="00493247">
        <w:rPr>
          <w:rFonts w:ascii="Times New Roman" w:hAnsi="Times New Roman"/>
          <w:kern w:val="28"/>
          <w:sz w:val="22"/>
        </w:rPr>
        <w:t>.</w:t>
      </w:r>
    </w:p>
    <w:p w14:paraId="06E6A174" w14:textId="56976284" w:rsidR="00D62B16" w:rsidRPr="00493247" w:rsidRDefault="00D62B16" w:rsidP="00D62B16">
      <w:pPr>
        <w:pStyle w:val="StandardL4"/>
        <w:tabs>
          <w:tab w:val="clear" w:pos="720"/>
        </w:tabs>
        <w:adjustRightInd/>
        <w:jc w:val="left"/>
        <w:rPr>
          <w:rFonts w:eastAsia="SimSun"/>
          <w:kern w:val="28"/>
          <w:sz w:val="22"/>
        </w:rPr>
      </w:pPr>
      <w:r w:rsidRPr="00493247">
        <w:rPr>
          <w:kern w:val="28"/>
          <w:sz w:val="22"/>
        </w:rPr>
        <w:t xml:space="preserve">Following the discovery of </w:t>
      </w:r>
      <w:r w:rsidR="00AD4CB4" w:rsidRPr="00493247">
        <w:rPr>
          <w:kern w:val="28"/>
          <w:sz w:val="22"/>
        </w:rPr>
        <w:t xml:space="preserve">(I) any </w:t>
      </w:r>
      <w:r w:rsidRPr="00493247">
        <w:rPr>
          <w:kern w:val="28"/>
          <w:sz w:val="22"/>
        </w:rPr>
        <w:t>access to, use or disclosure of PHI which is not permitted by the Participation Agreement (including any Breach of Privacy or Security)</w:t>
      </w:r>
      <w:r w:rsidR="00AD4CB4" w:rsidRPr="00493247">
        <w:rPr>
          <w:kern w:val="28"/>
          <w:sz w:val="22"/>
        </w:rPr>
        <w:t xml:space="preserve"> or (II) any Security Incident</w:t>
      </w:r>
      <w:r w:rsidRPr="00493247">
        <w:rPr>
          <w:kern w:val="28"/>
          <w:sz w:val="22"/>
        </w:rPr>
        <w:t>, Business Associate shall notify Covered Entity by contacting Covered Entity’s designated privacy contact person without unreasonable delay, and in no case later than forty</w:t>
      </w:r>
      <w:r w:rsidR="00B7087A" w:rsidRPr="00493247">
        <w:rPr>
          <w:kern w:val="28"/>
          <w:sz w:val="22"/>
        </w:rPr>
        <w:t>-</w:t>
      </w:r>
      <w:r w:rsidRPr="00493247">
        <w:rPr>
          <w:kern w:val="28"/>
          <w:sz w:val="22"/>
        </w:rPr>
        <w:t>eight (48) hours after discovery of the Breach of Privacy or Security</w:t>
      </w:r>
      <w:r w:rsidR="00AD4CB4" w:rsidRPr="00493247">
        <w:rPr>
          <w:kern w:val="28"/>
          <w:sz w:val="22"/>
        </w:rPr>
        <w:t xml:space="preserve"> of the Security Incident; provided, however, that the Parties acknowledge and agree that this Section constitutes notice by Business Associate to Covered Entity of the ongoing existence and occurrence of attempted but Unsuccessful Security Incidents (as defined below) for which notice to Covered Entity by Business Associate shall be required only upon request.  “Unsuccessful Security Incidents” shall include, but not be limited to, pings and other broadcast attacks on Business Associate’s firewall, port scans, unsuccessful log-on attempts, denials of service and any combination of the above, so long as no such incident results in unauthorized access, use or disclosure of PHI</w:t>
      </w:r>
      <w:r w:rsidRPr="00493247">
        <w:rPr>
          <w:kern w:val="28"/>
          <w:sz w:val="22"/>
        </w:rPr>
        <w:t>.  Covered Entity will advise Business Associate of any subsequent changes to the privacy contact person’s contact information.</w:t>
      </w:r>
    </w:p>
    <w:p w14:paraId="58CC862D" w14:textId="77777777" w:rsidR="00D62B16" w:rsidRPr="00493247" w:rsidRDefault="00D62B16" w:rsidP="00D62B16">
      <w:pPr>
        <w:pStyle w:val="StandardL4"/>
        <w:tabs>
          <w:tab w:val="clear" w:pos="720"/>
        </w:tabs>
        <w:adjustRightInd/>
        <w:jc w:val="left"/>
        <w:rPr>
          <w:rFonts w:eastAsia="SimSun"/>
          <w:kern w:val="28"/>
          <w:sz w:val="22"/>
        </w:rPr>
      </w:pPr>
      <w:r w:rsidRPr="00493247">
        <w:rPr>
          <w:rFonts w:eastAsia="SimSun"/>
          <w:kern w:val="28"/>
          <w:sz w:val="22"/>
        </w:rPr>
        <w:t>In the event of a Breach of Privacy or Security, Business Associate shall without unreasonable delay carry out an investigation and shall provide reasonably frequent updates to Covered Entity as to the results of the investigation, including, as soon as reasonably possible, the identification of each Patient whose PHI has been, or is reasonably believed to have been, accessed, acquired, or disclosed during any Breach of Privacy or Security.</w:t>
      </w:r>
    </w:p>
    <w:p w14:paraId="39445E8A" w14:textId="77777777" w:rsidR="00D62B16" w:rsidRPr="00493247" w:rsidRDefault="00D62B16" w:rsidP="00D62B16">
      <w:pPr>
        <w:pStyle w:val="StandardL4"/>
        <w:tabs>
          <w:tab w:val="clear" w:pos="720"/>
        </w:tabs>
        <w:adjustRightInd/>
        <w:jc w:val="left"/>
        <w:rPr>
          <w:rFonts w:eastAsia="SimSun"/>
          <w:kern w:val="28"/>
          <w:sz w:val="22"/>
        </w:rPr>
      </w:pPr>
      <w:r w:rsidRPr="00493247">
        <w:rPr>
          <w:rFonts w:eastAsia="SimSun"/>
          <w:kern w:val="28"/>
          <w:sz w:val="22"/>
        </w:rPr>
        <w:t>Business Associate shall cooperate with Covered Entity and shall provide that assistance as Covered Entity may reasonably request so that Covered Entity may comply with any obligations it may have to investigate, remediate, mitigate, report, and or otherwise notify third parties of that Breach of Privacy or Security.</w:t>
      </w:r>
    </w:p>
    <w:p w14:paraId="0EEBA715" w14:textId="08AB3640"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lastRenderedPageBreak/>
        <w:t>Arrangements with Subcontractors</w:t>
      </w:r>
      <w:r w:rsidRPr="00493247">
        <w:rPr>
          <w:rFonts w:ascii="Times New Roman" w:hAnsi="Times New Roman"/>
          <w:kern w:val="28"/>
          <w:sz w:val="22"/>
        </w:rPr>
        <w:t>.  Business Associate shall enter into a BAA with any subcontractor of Business Associate that creates, receives, maintains, or transmits PHI on behalf of Business Associate, pursuant to which the subcontractor shall agree to comply with the applicable requirements of HIPAA and the same (or more stringent) restrictions and conditions that apply to Business Associate with respect to that PHI pursuant to this BAA, and pursuant to which Business Associate shall obtain satisfactory assurances that the subcontractor shall appropriately safeguard that PHI.</w:t>
      </w:r>
    </w:p>
    <w:p w14:paraId="01758708" w14:textId="2B4CF5FD"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Individuals’ Access to PHI</w:t>
      </w:r>
      <w:r w:rsidRPr="00493247">
        <w:rPr>
          <w:rFonts w:ascii="Times New Roman" w:hAnsi="Times New Roman"/>
          <w:kern w:val="28"/>
          <w:sz w:val="22"/>
        </w:rPr>
        <w:t>.  If Business Associate receives a Patient’s request for access to PHI, Business Associate shall, within five (5) business days of its receipt of the request, notify the Covered Entity responsible for making the determination regarding the granting or denial of a Patient’s request.  In the event that Business Associate identifies multiple covered entities to which the Patient could make the request, then Business Associate shall coordinate discussion amongst the covered entities to determine the appropriate course of action.  Business Associate shall not make any that determinations or provide the requested access unless requested by the Covered Entity or covered entities.  If and to the extent that a Covered Entity requests Business Associate’s assistance in fulfilling a request made by a Patient for access to PHI, Business Associate shall make that PHI available to Covered Entity within ten (10) business days of the Covered Entity’s request as and to the extent required for Covered Entity’s compliance with its obligations to provide Patients with access to and copies of PHI pursuant to 45 C.F.R. § 164.524.</w:t>
      </w:r>
    </w:p>
    <w:p w14:paraId="14C9EC71" w14:textId="4285C25A"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Amendments to PHI</w:t>
      </w:r>
      <w:r w:rsidRPr="00493247">
        <w:rPr>
          <w:rFonts w:ascii="Times New Roman" w:hAnsi="Times New Roman"/>
          <w:kern w:val="28"/>
          <w:sz w:val="22"/>
        </w:rPr>
        <w:t>.  If Business Associate receives a Patient request for an amendment to PHI, Business Associate shall, within five (5) business days of its receipt of the request, notify the Covered Entity responsible for making the determination regarding the granting or denial of a Patient’s request.  Covered Entity shall be responsible for making all determinations regarding the granting or denial of a Patient’s request for amendment, and for notifying Patients thereof, and Business Associate shall not make any that determinations or make any that amendments.  In the event that Business Associate identifies multiple covered entities to which the Patient could make the request, then Business Associate shall coordinate discussion amongst the covered entities to determine the appropriate course of action.  If and to the extent that Covered Entity requests Business Associate’s assistance or directs Business Associate to incorporate an amendment to PHI, Business Associate shall, within ten (10) days of the Covered Entity’s request, cooperate with the Covered Entity, including incorporating any amendments to PHI directed by Covered Entity, as and to the extent required for Covered Entity’s compliance with 45 C.F.R. § 164.526.</w:t>
      </w:r>
    </w:p>
    <w:p w14:paraId="218056D0"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Accountings of Disclosures</w:t>
      </w:r>
      <w:r w:rsidRPr="00493247">
        <w:rPr>
          <w:rFonts w:ascii="Times New Roman" w:hAnsi="Times New Roman"/>
          <w:kern w:val="28"/>
          <w:sz w:val="22"/>
        </w:rPr>
        <w:t>.  If Business Associate receives a Patient’s request for an accounting of disclosures of PHI, Business Associate shall, within five (5) business days of its receipt of the request, notify the Covered Entity responsible for complying with the request. In the event that Business Associate identifies multiple covered entities to which the Patient could make the request, then Business Associate shall coordinate discussion amongst the covered entities to determine the appropriate course of action.  Business Associate shall document disclosures of PHI as required to provide Covered Entity with information sufficient to respond to any request by a Patient for an accounting of disclosures in compliance with 45 C.F.R. § 164.528, and shall provide that information to Covered Entity upon request within ten (10) business days.  Covered Entity shall be responsible for providing all accountings of disclosures to Patients, and Business Associate shall not provide any accountings to Patients directly.</w:t>
      </w:r>
    </w:p>
    <w:p w14:paraId="538F2B89"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Other Obligations</w:t>
      </w:r>
      <w:r w:rsidRPr="00493247">
        <w:rPr>
          <w:rFonts w:ascii="Times New Roman" w:hAnsi="Times New Roman"/>
          <w:kern w:val="28"/>
          <w:sz w:val="22"/>
        </w:rPr>
        <w:t>.  To the extent that Business Associate is, pursuant to the Participation Agreement or this BAA, responsible to carry out an obligation of Covered Entity under HIPAA, Business Associate shall comply with the requirements of HIPAA that apply to Covered Entity in the performance of that obligation.</w:t>
      </w:r>
    </w:p>
    <w:p w14:paraId="36861148" w14:textId="42B68BED"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lastRenderedPageBreak/>
        <w:t>Books and Records</w:t>
      </w:r>
      <w:r w:rsidRPr="00493247">
        <w:rPr>
          <w:rFonts w:ascii="Times New Roman" w:hAnsi="Times New Roman"/>
          <w:kern w:val="28"/>
          <w:sz w:val="22"/>
        </w:rPr>
        <w:t xml:space="preserve">.  Business Associate shall make its internal practices, books, and records relating to the use and disclosure of PHI received from, or created or received by Business Associate on behalf of Covered Entity, available to the Secretary for purposes of determining Covered Entity’s or Business Associate’s compliance under HIPAA. </w:t>
      </w:r>
    </w:p>
    <w:p w14:paraId="6C13CC18" w14:textId="77777777" w:rsidR="00D62B16" w:rsidRPr="00493247" w:rsidRDefault="00D62B16" w:rsidP="00D62B16">
      <w:pPr>
        <w:numPr>
          <w:ilvl w:val="0"/>
          <w:numId w:val="2"/>
        </w:numPr>
        <w:spacing w:after="240"/>
        <w:rPr>
          <w:rFonts w:ascii="Times New Roman" w:hAnsi="Times New Roman"/>
          <w:kern w:val="28"/>
          <w:sz w:val="22"/>
        </w:rPr>
      </w:pPr>
      <w:r w:rsidRPr="00493247">
        <w:rPr>
          <w:rFonts w:ascii="Times New Roman" w:hAnsi="Times New Roman"/>
          <w:kern w:val="28"/>
          <w:sz w:val="22"/>
          <w:u w:val="single"/>
        </w:rPr>
        <w:t>Covered Entity’s Obligations</w:t>
      </w:r>
      <w:r w:rsidRPr="00493247">
        <w:rPr>
          <w:rFonts w:ascii="Times New Roman" w:hAnsi="Times New Roman"/>
          <w:kern w:val="28"/>
          <w:sz w:val="22"/>
        </w:rPr>
        <w:t>.</w:t>
      </w:r>
    </w:p>
    <w:p w14:paraId="4E899ED1"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Notice of Change in Privacy Practices</w:t>
      </w:r>
      <w:r w:rsidRPr="00493247">
        <w:rPr>
          <w:rFonts w:ascii="Times New Roman" w:hAnsi="Times New Roman"/>
          <w:kern w:val="28"/>
          <w:sz w:val="22"/>
        </w:rPr>
        <w:t>.  Covered Entity shall notify Business Associate of any limitation(s) in Covered Entity’s notice of privacy practices in accordance with 45 C.F.R. §164.520, to the extent that that limitation may affect Business Associate’s use or disclosure of PHI, as soon as reasonably practicable, and in no case more than ten (10) business days after the change to the notice of privacy practices containing such limitation.</w:t>
      </w:r>
    </w:p>
    <w:p w14:paraId="109E9990"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Notice of Change in Permissions</w:t>
      </w:r>
      <w:r w:rsidRPr="00493247">
        <w:rPr>
          <w:rFonts w:ascii="Times New Roman" w:hAnsi="Times New Roman"/>
          <w:kern w:val="28"/>
          <w:sz w:val="22"/>
        </w:rPr>
        <w:t>.  Covered Entity shall notify Business Associate of any changes in, or revocation of, permission by an individual to use or disclose PHI, to the extent that that change may affect Business Associate’s use or disclosure of PHI, as soon as reasonably practicable, and in no case more than ten (10) business days after the date when Covered Entity learns of the change in permissions. Business Associate shall abide by each change in, or revocation of, permission described above in this clause (b).</w:t>
      </w:r>
    </w:p>
    <w:p w14:paraId="2F75D06D"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Notice of Change in Use</w:t>
      </w:r>
      <w:r w:rsidRPr="00493247">
        <w:rPr>
          <w:rFonts w:ascii="Times New Roman" w:hAnsi="Times New Roman"/>
          <w:kern w:val="28"/>
          <w:sz w:val="22"/>
        </w:rPr>
        <w:t>.  Covered Entity shall notify Business Associate of any restriction to the use or disclosure of PHI that Covered Entity has agreed to in accordance with 45 C.F.R. §164.522, to the extent that that restriction may affect Business Associate’s use or disclosure of PHI, as soon as reasonably practicable, and in no case more than ten (10) business days after the date when Covered Entity learns of the restriction. Business Associate shall abide by each restriction described above in this clause (c).</w:t>
      </w:r>
    </w:p>
    <w:p w14:paraId="55C9B864"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Appropriate Requests</w:t>
      </w:r>
      <w:r w:rsidRPr="00493247">
        <w:rPr>
          <w:rFonts w:ascii="Times New Roman" w:hAnsi="Times New Roman"/>
          <w:kern w:val="28"/>
          <w:sz w:val="22"/>
        </w:rPr>
        <w:t>.  Covered Entity shall not request that Business Associate use or disclose PHI in any manner that would not be permissible under HIPAA if done by Covered Entity.</w:t>
      </w:r>
    </w:p>
    <w:p w14:paraId="36B3C984" w14:textId="77777777" w:rsidR="00D62B16" w:rsidRPr="00493247" w:rsidRDefault="00D62B16" w:rsidP="00D62B16">
      <w:pPr>
        <w:numPr>
          <w:ilvl w:val="0"/>
          <w:numId w:val="2"/>
        </w:numPr>
        <w:spacing w:after="240"/>
        <w:rPr>
          <w:rFonts w:ascii="Times New Roman" w:hAnsi="Times New Roman"/>
          <w:kern w:val="28"/>
          <w:sz w:val="22"/>
        </w:rPr>
      </w:pPr>
      <w:bookmarkStart w:id="5" w:name="_Ref347229650"/>
      <w:r w:rsidRPr="00493247">
        <w:rPr>
          <w:rFonts w:ascii="Times New Roman" w:hAnsi="Times New Roman"/>
          <w:kern w:val="28"/>
          <w:sz w:val="22"/>
          <w:u w:val="single"/>
        </w:rPr>
        <w:t>Term and Termination</w:t>
      </w:r>
      <w:r w:rsidRPr="00493247">
        <w:rPr>
          <w:rFonts w:ascii="Times New Roman" w:hAnsi="Times New Roman"/>
          <w:kern w:val="28"/>
          <w:sz w:val="22"/>
        </w:rPr>
        <w:t>.</w:t>
      </w:r>
      <w:bookmarkEnd w:id="5"/>
    </w:p>
    <w:p w14:paraId="2A46AA17"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Term</w:t>
      </w:r>
      <w:r w:rsidRPr="00493247">
        <w:rPr>
          <w:rFonts w:ascii="Times New Roman" w:hAnsi="Times New Roman"/>
          <w:kern w:val="28"/>
          <w:sz w:val="22"/>
        </w:rPr>
        <w:t>. Subject to the other provisions of this Section 4 (</w:t>
      </w:r>
      <w:r w:rsidRPr="00493247">
        <w:rPr>
          <w:rFonts w:ascii="Times New Roman" w:hAnsi="Times New Roman"/>
          <w:kern w:val="28"/>
          <w:sz w:val="22"/>
          <w:u w:val="single"/>
        </w:rPr>
        <w:t>Term and Termination</w:t>
      </w:r>
      <w:r w:rsidRPr="00493247">
        <w:rPr>
          <w:rFonts w:ascii="Times New Roman" w:hAnsi="Times New Roman"/>
          <w:kern w:val="28"/>
          <w:sz w:val="22"/>
        </w:rPr>
        <w:t>), the term of this BAA shall be coextensive with that of the Participation Agreement.</w:t>
      </w:r>
    </w:p>
    <w:p w14:paraId="73F805BA" w14:textId="77777777" w:rsidR="00D62B16" w:rsidRPr="00493247" w:rsidRDefault="00D62B16" w:rsidP="00D62B16">
      <w:pPr>
        <w:numPr>
          <w:ilvl w:val="1"/>
          <w:numId w:val="2"/>
        </w:numPr>
        <w:spacing w:after="240"/>
        <w:rPr>
          <w:rFonts w:ascii="Times New Roman" w:hAnsi="Times New Roman"/>
          <w:kern w:val="28"/>
          <w:sz w:val="22"/>
        </w:rPr>
      </w:pPr>
      <w:r w:rsidRPr="00493247">
        <w:rPr>
          <w:rFonts w:ascii="Times New Roman" w:hAnsi="Times New Roman"/>
          <w:kern w:val="28"/>
          <w:sz w:val="22"/>
          <w:u w:val="single"/>
        </w:rPr>
        <w:t>Breach Pattern of Practice</w:t>
      </w:r>
      <w:r w:rsidRPr="00493247">
        <w:rPr>
          <w:rFonts w:ascii="Times New Roman" w:hAnsi="Times New Roman"/>
          <w:kern w:val="28"/>
          <w:sz w:val="22"/>
        </w:rPr>
        <w:t>. If party knows of a pattern of activity or practice by the other party that constitutes a material breach or violation of its obligations under HIPAA or this BAA, such party shall notify the other party of that breach.  If such other party is unsuccessful in curing that breach within a reasonable time period specified by the notifying party, the notifying party may terminate this BAA and the Participation Agreement, if feasible, upon written notice to the other party.</w:t>
      </w:r>
    </w:p>
    <w:p w14:paraId="0D009474" w14:textId="207DCF90" w:rsidR="00D62B16" w:rsidRPr="00493247" w:rsidRDefault="00D62B16" w:rsidP="00D62B16">
      <w:pPr>
        <w:numPr>
          <w:ilvl w:val="1"/>
          <w:numId w:val="2"/>
        </w:numPr>
        <w:spacing w:after="240"/>
        <w:rPr>
          <w:rFonts w:ascii="Times New Roman" w:hAnsi="Times New Roman"/>
          <w:kern w:val="28"/>
          <w:sz w:val="22"/>
        </w:rPr>
      </w:pPr>
      <w:bookmarkStart w:id="6" w:name="_Ref348960965"/>
      <w:r w:rsidRPr="00493247">
        <w:rPr>
          <w:rFonts w:ascii="Times New Roman" w:hAnsi="Times New Roman"/>
          <w:kern w:val="28"/>
          <w:sz w:val="22"/>
          <w:u w:val="single"/>
        </w:rPr>
        <w:t>Conduct Upon Termination</w:t>
      </w:r>
      <w:r w:rsidRPr="00493247">
        <w:rPr>
          <w:rFonts w:ascii="Times New Roman" w:hAnsi="Times New Roman"/>
          <w:kern w:val="28"/>
          <w:sz w:val="22"/>
        </w:rPr>
        <w:t>.  Upon termination or expiration of this BAA, Business Associate and Covered Entity acknowledge that return or destruction of PHI is not feasible.  Accordingly, Business Associate shall extend the protections of this BAA, including Section 2(e) (</w:t>
      </w:r>
      <w:r w:rsidRPr="00493247">
        <w:rPr>
          <w:rFonts w:ascii="Times New Roman" w:hAnsi="Times New Roman"/>
          <w:kern w:val="28"/>
          <w:sz w:val="22"/>
          <w:u w:val="single"/>
        </w:rPr>
        <w:t>Safeguards</w:t>
      </w:r>
      <w:r w:rsidRPr="00493247">
        <w:rPr>
          <w:rFonts w:ascii="Times New Roman" w:hAnsi="Times New Roman"/>
          <w:kern w:val="28"/>
          <w:sz w:val="22"/>
        </w:rPr>
        <w:t>), to any that PHI for so long as it is not destroyed, and limit further uses and disclosures of that PHI to those purposes that make the return or destruction not feasible, for as long as Business Associate or any subcontractor of Business Associate maintains that PHI.  Upon the expiration of this period of infeasibility, if any, Business Associate shall destroy all PHI that it has retained.  If PHI is to be destroyed pursuant to this Section 4(</w:t>
      </w:r>
      <w:r w:rsidR="00724E82" w:rsidRPr="00493247">
        <w:rPr>
          <w:rFonts w:ascii="Times New Roman" w:hAnsi="Times New Roman"/>
          <w:kern w:val="28"/>
          <w:sz w:val="22"/>
        </w:rPr>
        <w:t>c</w:t>
      </w:r>
      <w:r w:rsidRPr="00493247">
        <w:rPr>
          <w:rFonts w:ascii="Times New Roman" w:hAnsi="Times New Roman"/>
          <w:kern w:val="28"/>
          <w:sz w:val="22"/>
        </w:rPr>
        <w:t>) (</w:t>
      </w:r>
      <w:r w:rsidRPr="00493247">
        <w:rPr>
          <w:rFonts w:ascii="Times New Roman" w:hAnsi="Times New Roman"/>
          <w:kern w:val="28"/>
          <w:sz w:val="22"/>
          <w:u w:val="single"/>
        </w:rPr>
        <w:t>Conduct Upon Termination</w:t>
      </w:r>
      <w:r w:rsidRPr="00493247">
        <w:rPr>
          <w:rFonts w:ascii="Times New Roman" w:hAnsi="Times New Roman"/>
          <w:kern w:val="28"/>
          <w:sz w:val="22"/>
        </w:rPr>
        <w:t>) or pursuant to the Participation Agreement, Business Associate shall certify in writing to Covered Entity that that PHI has been destroyed.</w:t>
      </w:r>
      <w:bookmarkEnd w:id="6"/>
    </w:p>
    <w:p w14:paraId="6A4BDE8F" w14:textId="77777777" w:rsidR="00D62B16" w:rsidRPr="00493247" w:rsidRDefault="00D62B16" w:rsidP="00D62B16">
      <w:pPr>
        <w:numPr>
          <w:ilvl w:val="0"/>
          <w:numId w:val="2"/>
        </w:numPr>
        <w:spacing w:after="240"/>
        <w:rPr>
          <w:rFonts w:ascii="Times New Roman" w:hAnsi="Times New Roman" w:cs="Times New Roman"/>
          <w:kern w:val="28"/>
          <w:sz w:val="22"/>
          <w:szCs w:val="22"/>
        </w:rPr>
      </w:pPr>
      <w:r w:rsidRPr="00493247">
        <w:rPr>
          <w:rFonts w:ascii="Times New Roman" w:hAnsi="Times New Roman"/>
          <w:kern w:val="28"/>
          <w:sz w:val="22"/>
          <w:u w:val="single"/>
        </w:rPr>
        <w:lastRenderedPageBreak/>
        <w:t xml:space="preserve">Relationship </w:t>
      </w:r>
      <w:r w:rsidRPr="00493247">
        <w:rPr>
          <w:rFonts w:ascii="Times New Roman" w:hAnsi="Times New Roman" w:cs="Times New Roman"/>
          <w:kern w:val="28"/>
          <w:sz w:val="22"/>
          <w:szCs w:val="22"/>
          <w:u w:val="single"/>
        </w:rPr>
        <w:t>to Participation Agreement</w:t>
      </w:r>
      <w:r w:rsidRPr="00493247">
        <w:rPr>
          <w:rFonts w:ascii="Times New Roman" w:hAnsi="Times New Roman" w:cs="Times New Roman"/>
          <w:kern w:val="28"/>
          <w:sz w:val="22"/>
          <w:szCs w:val="22"/>
        </w:rPr>
        <w:t>.  In the event that a provision of this BAA is contrary to a provision of the Participation Agreement pertaining to Business Associate’s performance of its obligations as a business associate, the provisions of this BAA shall control.</w:t>
      </w:r>
    </w:p>
    <w:p w14:paraId="03D980BC" w14:textId="54A16217" w:rsidR="00C2550E" w:rsidRPr="00493247" w:rsidRDefault="00C2550E" w:rsidP="00C2550E">
      <w:pPr>
        <w:numPr>
          <w:ilvl w:val="0"/>
          <w:numId w:val="2"/>
        </w:numPr>
        <w:spacing w:after="240"/>
        <w:rPr>
          <w:rFonts w:ascii="Times New Roman" w:hAnsi="Times New Roman" w:cs="Times New Roman"/>
          <w:kern w:val="28"/>
          <w:sz w:val="22"/>
          <w:szCs w:val="22"/>
        </w:rPr>
      </w:pPr>
      <w:r w:rsidRPr="00493247">
        <w:rPr>
          <w:rFonts w:ascii="Times New Roman" w:hAnsi="Times New Roman" w:cs="Times New Roman"/>
          <w:kern w:val="28"/>
          <w:sz w:val="22"/>
          <w:szCs w:val="22"/>
        </w:rPr>
        <w:t xml:space="preserve">   </w:t>
      </w:r>
      <w:r w:rsidRPr="00493247">
        <w:rPr>
          <w:rFonts w:ascii="Times New Roman" w:hAnsi="Times New Roman" w:cs="Times New Roman"/>
          <w:sz w:val="22"/>
          <w:szCs w:val="22"/>
          <w:u w:val="single"/>
        </w:rPr>
        <w:t>Cooperation in Investigations</w:t>
      </w:r>
      <w:r w:rsidRPr="00493247">
        <w:rPr>
          <w:rFonts w:ascii="Times New Roman" w:hAnsi="Times New Roman" w:cs="Times New Roman"/>
          <w:sz w:val="22"/>
          <w:szCs w:val="22"/>
        </w:rPr>
        <w:t>. The Parties acknowledge that certain breaches or violations of this BAA may result in litigation or investigations pursued by federal or state governmental authorities of the United States resulting in civil liability or criminal penalties.  Each Party shall cooperate in good faith in all respects with the other Party in connection with any request by a federal or state governmental authority for additional information and documents or any governmental investigation, complaint, action or other inquiry.</w:t>
      </w:r>
    </w:p>
    <w:p w14:paraId="7BA60B88" w14:textId="77777777" w:rsidR="00D62B16" w:rsidRPr="00493247" w:rsidRDefault="00D62B16" w:rsidP="00D62B16">
      <w:pPr>
        <w:pStyle w:val="StandardL1"/>
        <w:adjustRightInd/>
        <w:ind w:firstLine="0"/>
        <w:jc w:val="left"/>
        <w:outlineLvl w:val="9"/>
        <w:rPr>
          <w:kern w:val="28"/>
          <w:sz w:val="22"/>
        </w:rPr>
      </w:pPr>
      <w:r w:rsidRPr="00493247">
        <w:rPr>
          <w:kern w:val="28"/>
          <w:sz w:val="22"/>
          <w:u w:val="single"/>
        </w:rPr>
        <w:t>Amendment</w:t>
      </w:r>
      <w:r w:rsidRPr="00493247">
        <w:rPr>
          <w:kern w:val="28"/>
          <w:sz w:val="22"/>
        </w:rPr>
        <w:t>.  The Parties agree to take that action from time to time as is necessary to amend this BAA for Covered Entity and Business Associate to comply with HIPAA or other applicable law.  The Parties agree that this BAA may only be modified by mutual written amendment, signed by both Parties, effective on the date set forth in the amendment.</w:t>
      </w:r>
    </w:p>
    <w:p w14:paraId="2C155CB7" w14:textId="77777777" w:rsidR="00D62B16" w:rsidRPr="00493247" w:rsidRDefault="00D62B16" w:rsidP="00D62B16">
      <w:pPr>
        <w:pStyle w:val="StandardL1"/>
        <w:adjustRightInd/>
        <w:ind w:firstLine="0"/>
        <w:jc w:val="left"/>
        <w:outlineLvl w:val="9"/>
        <w:rPr>
          <w:kern w:val="28"/>
          <w:sz w:val="22"/>
        </w:rPr>
      </w:pPr>
      <w:r w:rsidRPr="00493247">
        <w:rPr>
          <w:kern w:val="28"/>
          <w:sz w:val="22"/>
          <w:u w:val="single"/>
        </w:rPr>
        <w:t>Interpretation</w:t>
      </w:r>
      <w:r w:rsidRPr="00493247">
        <w:rPr>
          <w:kern w:val="28"/>
          <w:sz w:val="22"/>
        </w:rPr>
        <w:t>. Any ambiguity in this BAA shall be interpreted to permit compliance with HIPAA.</w:t>
      </w:r>
    </w:p>
    <w:p w14:paraId="4A929925" w14:textId="77777777" w:rsidR="00D62B16" w:rsidRPr="00493247" w:rsidRDefault="00D62B16" w:rsidP="00D62B16">
      <w:pPr>
        <w:pStyle w:val="StandardL1"/>
        <w:adjustRightInd/>
        <w:ind w:firstLine="0"/>
        <w:jc w:val="left"/>
        <w:outlineLvl w:val="9"/>
        <w:rPr>
          <w:kern w:val="28"/>
          <w:sz w:val="22"/>
        </w:rPr>
      </w:pPr>
      <w:r w:rsidRPr="00493247">
        <w:rPr>
          <w:kern w:val="28"/>
          <w:sz w:val="22"/>
          <w:u w:val="single"/>
        </w:rPr>
        <w:t>Waiver</w:t>
      </w:r>
      <w:r w:rsidRPr="00493247">
        <w:rPr>
          <w:kern w:val="28"/>
          <w:sz w:val="22"/>
        </w:rPr>
        <w:t>.  Any failure of a Party to insist upon strict compliance with any term, undertaking or condition of this BAA shall not be deemed to be a waiver of that term, undertaking or condition.  To be effective, a waiver must be in writing, signed and dated by the Parties to this BAA.</w:t>
      </w:r>
    </w:p>
    <w:p w14:paraId="7509F0E9" w14:textId="77777777" w:rsidR="00D62B16" w:rsidRPr="00493247" w:rsidRDefault="00D62B16" w:rsidP="00D62B16">
      <w:pPr>
        <w:pStyle w:val="StandardL1"/>
        <w:adjustRightInd/>
        <w:ind w:firstLine="0"/>
        <w:jc w:val="left"/>
        <w:outlineLvl w:val="9"/>
        <w:rPr>
          <w:kern w:val="28"/>
          <w:sz w:val="22"/>
        </w:rPr>
      </w:pPr>
      <w:r w:rsidRPr="00493247">
        <w:rPr>
          <w:kern w:val="28"/>
          <w:sz w:val="22"/>
          <w:u w:val="single"/>
        </w:rPr>
        <w:t>Counterparts</w:t>
      </w:r>
      <w:r w:rsidRPr="00493247">
        <w:rPr>
          <w:kern w:val="28"/>
          <w:sz w:val="22"/>
        </w:rPr>
        <w:t>.  This BAA may be executed in multiple counterparts, each of which shall be deemed an original and all of which together shall be deemed one and the same instrument.  Any photocopy of this executed Agreement may be used as if it were the original.</w:t>
      </w:r>
    </w:p>
    <w:p w14:paraId="0FE9DC40" w14:textId="30BBDFEC" w:rsidR="00D62B16" w:rsidRPr="00493247" w:rsidRDefault="00D62B16" w:rsidP="00960D51">
      <w:pPr>
        <w:pStyle w:val="StandardL1"/>
        <w:adjustRightInd/>
        <w:ind w:firstLine="0"/>
        <w:jc w:val="left"/>
        <w:outlineLvl w:val="9"/>
        <w:rPr>
          <w:kern w:val="28"/>
          <w:sz w:val="22"/>
        </w:rPr>
      </w:pPr>
      <w:r w:rsidRPr="00493247">
        <w:rPr>
          <w:kern w:val="28"/>
          <w:sz w:val="22"/>
          <w:u w:val="single"/>
        </w:rPr>
        <w:t>Governing Law</w:t>
      </w:r>
      <w:r w:rsidRPr="00493247">
        <w:rPr>
          <w:kern w:val="28"/>
          <w:sz w:val="22"/>
        </w:rPr>
        <w:t>.   Notwithstanding any other provision to the contrary, this BAA shall be governed and construed in accordance with the laws of the State of California.</w:t>
      </w:r>
    </w:p>
    <w:p w14:paraId="19B32EA3" w14:textId="77777777" w:rsidR="00D62B16" w:rsidRPr="00493247" w:rsidRDefault="00D62B16" w:rsidP="00D62B16">
      <w:pPr>
        <w:spacing w:after="240"/>
        <w:rPr>
          <w:rFonts w:ascii="Times New Roman" w:hAnsi="Times New Roman"/>
          <w:kern w:val="28"/>
          <w:sz w:val="22"/>
        </w:rPr>
      </w:pPr>
      <w:r w:rsidRPr="00493247">
        <w:rPr>
          <w:rFonts w:ascii="Times New Roman" w:hAnsi="Times New Roman"/>
          <w:kern w:val="28"/>
          <w:sz w:val="22"/>
        </w:rPr>
        <w:t>In witness whereof, Covered Entity and Business Associate have entered into this BAA as of the Effective Date of the Participation Agreement.</w:t>
      </w:r>
    </w:p>
    <w:tbl>
      <w:tblPr>
        <w:tblW w:w="0" w:type="auto"/>
        <w:tblLook w:val="01E0" w:firstRow="1" w:lastRow="1" w:firstColumn="1" w:lastColumn="1" w:noHBand="0" w:noVBand="0"/>
      </w:tblPr>
      <w:tblGrid>
        <w:gridCol w:w="947"/>
        <w:gridCol w:w="2381"/>
        <w:gridCol w:w="2215"/>
        <w:gridCol w:w="950"/>
        <w:gridCol w:w="2867"/>
      </w:tblGrid>
      <w:tr w:rsidR="00D62B16" w:rsidRPr="00493247" w14:paraId="0F0DF6B3" w14:textId="77777777" w:rsidTr="005F6101">
        <w:tc>
          <w:tcPr>
            <w:tcW w:w="4072" w:type="dxa"/>
            <w:gridSpan w:val="2"/>
            <w:tcMar>
              <w:left w:w="108" w:type="dxa"/>
              <w:right w:w="108" w:type="dxa"/>
            </w:tcMar>
          </w:tcPr>
          <w:p w14:paraId="0A10DD37" w14:textId="77777777" w:rsidR="00D62B16" w:rsidRPr="00493247" w:rsidRDefault="00D62B16" w:rsidP="005F6101">
            <w:pPr>
              <w:tabs>
                <w:tab w:val="left" w:pos="403"/>
                <w:tab w:val="right" w:pos="4320"/>
              </w:tabs>
              <w:spacing w:after="60"/>
              <w:rPr>
                <w:rFonts w:ascii="Times New Roman" w:hAnsi="Times New Roman"/>
                <w:b/>
                <w:sz w:val="22"/>
              </w:rPr>
            </w:pPr>
            <w:r w:rsidRPr="00493247">
              <w:rPr>
                <w:rFonts w:ascii="Times New Roman" w:hAnsi="Times New Roman"/>
                <w:b/>
                <w:sz w:val="22"/>
              </w:rPr>
              <w:t>Covered Entity</w:t>
            </w:r>
          </w:p>
        </w:tc>
        <w:tc>
          <w:tcPr>
            <w:tcW w:w="2858" w:type="dxa"/>
            <w:tcMar>
              <w:left w:w="108" w:type="dxa"/>
              <w:right w:w="108" w:type="dxa"/>
            </w:tcMar>
          </w:tcPr>
          <w:p w14:paraId="44032AB9" w14:textId="77777777" w:rsidR="00D62B16" w:rsidRPr="00493247" w:rsidRDefault="00D62B16" w:rsidP="005F6101">
            <w:pPr>
              <w:tabs>
                <w:tab w:val="left" w:pos="403"/>
                <w:tab w:val="right" w:pos="4320"/>
              </w:tabs>
              <w:spacing w:after="60"/>
              <w:rPr>
                <w:rFonts w:ascii="Times New Roman" w:hAnsi="Times New Roman"/>
                <w:b/>
                <w:sz w:val="22"/>
              </w:rPr>
            </w:pPr>
          </w:p>
        </w:tc>
        <w:tc>
          <w:tcPr>
            <w:tcW w:w="4503" w:type="dxa"/>
            <w:gridSpan w:val="2"/>
            <w:tcMar>
              <w:left w:w="108" w:type="dxa"/>
              <w:right w:w="108" w:type="dxa"/>
            </w:tcMar>
          </w:tcPr>
          <w:p w14:paraId="488AC755" w14:textId="77777777" w:rsidR="00D62B16" w:rsidRPr="00493247" w:rsidRDefault="00D62B16" w:rsidP="005F6101">
            <w:pPr>
              <w:tabs>
                <w:tab w:val="left" w:pos="403"/>
                <w:tab w:val="right" w:pos="4320"/>
              </w:tabs>
              <w:spacing w:after="60"/>
              <w:rPr>
                <w:rFonts w:ascii="Times New Roman" w:hAnsi="Times New Roman"/>
                <w:b/>
                <w:kern w:val="28"/>
                <w:sz w:val="22"/>
              </w:rPr>
            </w:pPr>
            <w:r w:rsidRPr="00493247">
              <w:rPr>
                <w:rFonts w:ascii="Times New Roman" w:hAnsi="Times New Roman"/>
                <w:b/>
                <w:sz w:val="22"/>
              </w:rPr>
              <w:t>Business Associate</w:t>
            </w:r>
            <w:r w:rsidRPr="00493247">
              <w:rPr>
                <w:rFonts w:ascii="Times New Roman" w:hAnsi="Times New Roman"/>
                <w:kern w:val="28"/>
                <w:sz w:val="22"/>
              </w:rPr>
              <w:br/>
            </w:r>
          </w:p>
        </w:tc>
      </w:tr>
      <w:tr w:rsidR="00D62B16" w:rsidRPr="00493247" w14:paraId="6EDDBE76" w14:textId="77777777" w:rsidTr="005F6101">
        <w:tc>
          <w:tcPr>
            <w:tcW w:w="994" w:type="dxa"/>
            <w:tcMar>
              <w:left w:w="108" w:type="dxa"/>
              <w:right w:w="108" w:type="dxa"/>
            </w:tcMar>
          </w:tcPr>
          <w:p w14:paraId="25BDFD4E"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By:</w:t>
            </w:r>
          </w:p>
        </w:tc>
        <w:tc>
          <w:tcPr>
            <w:tcW w:w="3078" w:type="dxa"/>
            <w:tcBorders>
              <w:bottom w:val="single" w:sz="4" w:space="0" w:color="auto"/>
            </w:tcBorders>
            <w:tcMar>
              <w:left w:w="108" w:type="dxa"/>
              <w:right w:w="108" w:type="dxa"/>
            </w:tcMar>
          </w:tcPr>
          <w:p w14:paraId="04AB6FBB"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2858" w:type="dxa"/>
            <w:tcMar>
              <w:left w:w="108" w:type="dxa"/>
              <w:right w:w="108" w:type="dxa"/>
            </w:tcMar>
          </w:tcPr>
          <w:p w14:paraId="3FEA1CF8"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998" w:type="dxa"/>
            <w:tcMar>
              <w:left w:w="108" w:type="dxa"/>
              <w:right w:w="108" w:type="dxa"/>
            </w:tcMar>
          </w:tcPr>
          <w:p w14:paraId="13662D3D"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By:</w:t>
            </w:r>
          </w:p>
        </w:tc>
        <w:tc>
          <w:tcPr>
            <w:tcW w:w="3505" w:type="dxa"/>
            <w:tcBorders>
              <w:bottom w:val="single" w:sz="4" w:space="0" w:color="auto"/>
            </w:tcBorders>
            <w:tcMar>
              <w:left w:w="108" w:type="dxa"/>
              <w:right w:w="108" w:type="dxa"/>
            </w:tcMar>
          </w:tcPr>
          <w:p w14:paraId="51E23A27" w14:textId="77777777" w:rsidR="00D62B16" w:rsidRPr="00493247" w:rsidRDefault="00D62B16" w:rsidP="005F6101">
            <w:pPr>
              <w:tabs>
                <w:tab w:val="left" w:pos="403"/>
                <w:tab w:val="right" w:pos="4320"/>
              </w:tabs>
              <w:spacing w:after="60"/>
              <w:rPr>
                <w:rFonts w:ascii="Times New Roman" w:hAnsi="Times New Roman"/>
                <w:kern w:val="28"/>
                <w:sz w:val="22"/>
              </w:rPr>
            </w:pPr>
          </w:p>
        </w:tc>
      </w:tr>
      <w:tr w:rsidR="00D62B16" w:rsidRPr="00493247" w14:paraId="0B39B950" w14:textId="77777777" w:rsidTr="005F6101">
        <w:tc>
          <w:tcPr>
            <w:tcW w:w="994" w:type="dxa"/>
            <w:tcMar>
              <w:left w:w="108" w:type="dxa"/>
              <w:right w:w="108" w:type="dxa"/>
            </w:tcMar>
          </w:tcPr>
          <w:p w14:paraId="4BE09BF8"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Name:</w:t>
            </w:r>
          </w:p>
        </w:tc>
        <w:tc>
          <w:tcPr>
            <w:tcW w:w="3078" w:type="dxa"/>
            <w:tcBorders>
              <w:top w:val="single" w:sz="4" w:space="0" w:color="auto"/>
              <w:bottom w:val="single" w:sz="4" w:space="0" w:color="auto"/>
            </w:tcBorders>
            <w:tcMar>
              <w:left w:w="108" w:type="dxa"/>
              <w:right w:w="108" w:type="dxa"/>
            </w:tcMar>
          </w:tcPr>
          <w:p w14:paraId="02CC508A"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2858" w:type="dxa"/>
            <w:tcMar>
              <w:left w:w="108" w:type="dxa"/>
              <w:right w:w="108" w:type="dxa"/>
            </w:tcMar>
          </w:tcPr>
          <w:p w14:paraId="733A70A2"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998" w:type="dxa"/>
            <w:tcMar>
              <w:left w:w="108" w:type="dxa"/>
              <w:right w:w="108" w:type="dxa"/>
            </w:tcMar>
          </w:tcPr>
          <w:p w14:paraId="23FFE108"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Name:</w:t>
            </w:r>
          </w:p>
        </w:tc>
        <w:tc>
          <w:tcPr>
            <w:tcW w:w="3505" w:type="dxa"/>
            <w:tcBorders>
              <w:top w:val="single" w:sz="4" w:space="0" w:color="auto"/>
              <w:bottom w:val="single" w:sz="4" w:space="0" w:color="auto"/>
            </w:tcBorders>
            <w:tcMar>
              <w:left w:w="108" w:type="dxa"/>
              <w:right w:w="108" w:type="dxa"/>
            </w:tcMar>
          </w:tcPr>
          <w:p w14:paraId="2A68A2C9" w14:textId="6648FEE8" w:rsidR="00D62B16" w:rsidRPr="00493247" w:rsidRDefault="006D6493"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Charles Ott</w:t>
            </w:r>
          </w:p>
        </w:tc>
      </w:tr>
      <w:tr w:rsidR="00D62B16" w:rsidRPr="00B835E1" w14:paraId="29792ACE" w14:textId="77777777" w:rsidTr="005F6101">
        <w:tc>
          <w:tcPr>
            <w:tcW w:w="994" w:type="dxa"/>
            <w:tcMar>
              <w:left w:w="108" w:type="dxa"/>
              <w:right w:w="108" w:type="dxa"/>
            </w:tcMar>
          </w:tcPr>
          <w:p w14:paraId="4086DFB2"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Title:</w:t>
            </w:r>
          </w:p>
        </w:tc>
        <w:tc>
          <w:tcPr>
            <w:tcW w:w="3078" w:type="dxa"/>
            <w:tcBorders>
              <w:top w:val="single" w:sz="4" w:space="0" w:color="auto"/>
              <w:bottom w:val="single" w:sz="4" w:space="0" w:color="auto"/>
            </w:tcBorders>
            <w:tcMar>
              <w:left w:w="108" w:type="dxa"/>
              <w:right w:w="108" w:type="dxa"/>
            </w:tcMar>
          </w:tcPr>
          <w:p w14:paraId="11407AE5"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2858" w:type="dxa"/>
            <w:tcMar>
              <w:left w:w="108" w:type="dxa"/>
              <w:right w:w="108" w:type="dxa"/>
            </w:tcMar>
          </w:tcPr>
          <w:p w14:paraId="71B764C0" w14:textId="77777777" w:rsidR="00D62B16" w:rsidRPr="00493247" w:rsidRDefault="00D62B16" w:rsidP="005F6101">
            <w:pPr>
              <w:tabs>
                <w:tab w:val="left" w:pos="403"/>
                <w:tab w:val="right" w:pos="4320"/>
              </w:tabs>
              <w:spacing w:after="60"/>
              <w:rPr>
                <w:rFonts w:ascii="Times New Roman" w:hAnsi="Times New Roman"/>
                <w:kern w:val="28"/>
                <w:sz w:val="22"/>
              </w:rPr>
            </w:pPr>
          </w:p>
        </w:tc>
        <w:tc>
          <w:tcPr>
            <w:tcW w:w="998" w:type="dxa"/>
            <w:tcMar>
              <w:left w:w="108" w:type="dxa"/>
              <w:right w:w="108" w:type="dxa"/>
            </w:tcMar>
          </w:tcPr>
          <w:p w14:paraId="23A1177B" w14:textId="77777777" w:rsidR="00D62B16" w:rsidRPr="00493247" w:rsidRDefault="00D62B16"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Title:</w:t>
            </w:r>
          </w:p>
        </w:tc>
        <w:tc>
          <w:tcPr>
            <w:tcW w:w="3505" w:type="dxa"/>
            <w:tcBorders>
              <w:top w:val="single" w:sz="4" w:space="0" w:color="auto"/>
              <w:bottom w:val="single" w:sz="4" w:space="0" w:color="auto"/>
            </w:tcBorders>
            <w:tcMar>
              <w:left w:w="108" w:type="dxa"/>
              <w:right w:w="108" w:type="dxa"/>
            </w:tcMar>
          </w:tcPr>
          <w:p w14:paraId="760E9BBA" w14:textId="124FE0A3" w:rsidR="00D62B16" w:rsidRPr="005F6101" w:rsidRDefault="006D6493" w:rsidP="005F6101">
            <w:pPr>
              <w:tabs>
                <w:tab w:val="left" w:pos="403"/>
                <w:tab w:val="right" w:pos="4320"/>
              </w:tabs>
              <w:spacing w:after="60"/>
              <w:rPr>
                <w:rFonts w:ascii="Times New Roman" w:hAnsi="Times New Roman"/>
                <w:kern w:val="28"/>
                <w:sz w:val="22"/>
              </w:rPr>
            </w:pPr>
            <w:r w:rsidRPr="00493247">
              <w:rPr>
                <w:rFonts w:ascii="Times New Roman" w:hAnsi="Times New Roman"/>
                <w:kern w:val="28"/>
                <w:sz w:val="22"/>
              </w:rPr>
              <w:t>CPO &amp; Deputy GC</w:t>
            </w:r>
          </w:p>
        </w:tc>
      </w:tr>
    </w:tbl>
    <w:p w14:paraId="286BDA9B" w14:textId="77777777" w:rsidR="00D62B16" w:rsidRPr="005F6101" w:rsidRDefault="00D62B16" w:rsidP="00D62B16">
      <w:pPr>
        <w:rPr>
          <w:rFonts w:ascii="Times New Roman" w:hAnsi="Times New Roman"/>
          <w:kern w:val="28"/>
          <w:sz w:val="22"/>
          <w:shd w:val="clear" w:color="auto" w:fill="FFFFFF"/>
        </w:rPr>
      </w:pPr>
    </w:p>
    <w:p w14:paraId="4CAE47DF" w14:textId="77777777" w:rsidR="00D62B16" w:rsidRPr="005F6101" w:rsidRDefault="00D62B16" w:rsidP="00D62B16">
      <w:pPr>
        <w:rPr>
          <w:rFonts w:ascii="Times New Roman" w:hAnsi="Times New Roman"/>
          <w:kern w:val="28"/>
          <w:sz w:val="22"/>
          <w:shd w:val="clear" w:color="auto" w:fill="FFFFFF"/>
        </w:rPr>
      </w:pPr>
    </w:p>
    <w:p w14:paraId="55080E80" w14:textId="77777777" w:rsidR="00D62B16" w:rsidRPr="00B835E1" w:rsidRDefault="00D62B16" w:rsidP="00D62B16">
      <w:pPr>
        <w:widowControl w:val="0"/>
        <w:autoSpaceDE w:val="0"/>
        <w:autoSpaceDN w:val="0"/>
        <w:rPr>
          <w:rFonts w:ascii="Times New Roman" w:hAnsi="Times New Roman" w:cs="Times New Roman"/>
          <w:kern w:val="28"/>
          <w:sz w:val="22"/>
          <w:szCs w:val="22"/>
          <w:lang w:eastAsia="zh-CN"/>
        </w:rPr>
      </w:pPr>
    </w:p>
    <w:p w14:paraId="31213232" w14:textId="77777777" w:rsidR="00D62B16" w:rsidRPr="00B835E1" w:rsidRDefault="00D62B16" w:rsidP="00D62B16">
      <w:pPr>
        <w:pStyle w:val="Legal31"/>
        <w:numPr>
          <w:ilvl w:val="0"/>
          <w:numId w:val="0"/>
        </w:numPr>
        <w:tabs>
          <w:tab w:val="clear" w:pos="0"/>
          <w:tab w:val="clear" w:pos="1080"/>
        </w:tabs>
        <w:adjustRightInd/>
        <w:jc w:val="center"/>
        <w:outlineLvl w:val="9"/>
        <w:rPr>
          <w:b/>
          <w:color w:val="000000" w:themeColor="text1"/>
          <w:kern w:val="28"/>
          <w:sz w:val="22"/>
          <w:szCs w:val="22"/>
        </w:rPr>
      </w:pPr>
    </w:p>
    <w:p w14:paraId="618F7F01" w14:textId="77777777" w:rsidR="00747E94" w:rsidRDefault="00747E94"/>
    <w:sectPr w:rsidR="00747E94" w:rsidSect="00407E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332B" w14:textId="77777777" w:rsidR="00067EA2" w:rsidRDefault="00067EA2" w:rsidP="00D1451D">
      <w:r>
        <w:separator/>
      </w:r>
    </w:p>
  </w:endnote>
  <w:endnote w:type="continuationSeparator" w:id="0">
    <w:p w14:paraId="602708AC" w14:textId="77777777" w:rsidR="00067EA2" w:rsidRDefault="00067EA2" w:rsidP="00D1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E73A" w14:textId="01180216" w:rsidR="00D1451D" w:rsidRPr="008C1953" w:rsidRDefault="00D1451D">
    <w:pPr>
      <w:pStyle w:val="Footer"/>
      <w:rPr>
        <w:rFonts w:ascii="Arial" w:hAnsi="Arial" w:cs="Arial"/>
        <w:sz w:val="16"/>
      </w:rPr>
    </w:pPr>
    <w:r w:rsidRPr="008C1953">
      <w:rPr>
        <w:rFonts w:ascii="Arial" w:hAnsi="Arial" w:cs="Arial"/>
        <w:sz w:val="16"/>
      </w:rPr>
      <w:t xml:space="preserve">rev. </w:t>
    </w:r>
    <w:r w:rsidR="009A2C95">
      <w:rPr>
        <w:rFonts w:ascii="Arial" w:hAnsi="Arial" w:cs="Arial"/>
        <w:sz w:val="16"/>
      </w:rPr>
      <w:t>11</w:t>
    </w:r>
    <w:r w:rsidRPr="008C1953">
      <w:rPr>
        <w:rFonts w:ascii="Arial" w:hAnsi="Arial" w:cs="Arial"/>
        <w:sz w:val="16"/>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30A7" w14:textId="77777777" w:rsidR="00067EA2" w:rsidRDefault="00067EA2" w:rsidP="00D1451D">
      <w:r>
        <w:separator/>
      </w:r>
    </w:p>
  </w:footnote>
  <w:footnote w:type="continuationSeparator" w:id="0">
    <w:p w14:paraId="7E26C18E" w14:textId="77777777" w:rsidR="00067EA2" w:rsidRDefault="00067EA2" w:rsidP="00D1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4B0A"/>
    <w:multiLevelType w:val="multilevel"/>
    <w:tmpl w:val="8F32DEF2"/>
    <w:name w:val="zzmpStandard||Standard|2|21|1|1|0|9||1|0|1||1|0|1||1|0|1||1|0|0||1|0|0||1|0|0||1|0|0||1|0|0||"/>
    <w:lvl w:ilvl="0">
      <w:start w:val="1"/>
      <w:numFmt w:val="decimal"/>
      <w:pStyle w:val="StandardL1"/>
      <w:lvlText w:val="%1."/>
      <w:lvlJc w:val="left"/>
      <w:pPr>
        <w:tabs>
          <w:tab w:val="left" w:pos="720"/>
        </w:tabs>
      </w:pPr>
      <w:rPr>
        <w:b w:val="0"/>
        <w:i w:val="0"/>
        <w:caps w:val="0"/>
        <w:strike w:val="0"/>
        <w:dstrike w:val="0"/>
        <w:color w:val="000000"/>
      </w:rPr>
    </w:lvl>
    <w:lvl w:ilvl="1">
      <w:start w:val="1"/>
      <w:numFmt w:val="lowerLetter"/>
      <w:pStyle w:val="StandardL2"/>
      <w:lvlText w:val="(%2)"/>
      <w:lvlJc w:val="left"/>
      <w:pPr>
        <w:tabs>
          <w:tab w:val="left" w:pos="1440"/>
        </w:tabs>
        <w:ind w:firstLine="720"/>
      </w:pPr>
      <w:rPr>
        <w:b w:val="0"/>
        <w:i w:val="0"/>
        <w:caps w:val="0"/>
        <w:strike w:val="0"/>
        <w:dstrike w:val="0"/>
        <w:color w:val="000000"/>
      </w:rPr>
    </w:lvl>
    <w:lvl w:ilvl="2">
      <w:start w:val="1"/>
      <w:numFmt w:val="lowerRoman"/>
      <w:pStyle w:val="StandardL3"/>
      <w:lvlText w:val="(%3)"/>
      <w:lvlJc w:val="left"/>
      <w:pPr>
        <w:tabs>
          <w:tab w:val="left" w:pos="2160"/>
        </w:tabs>
        <w:ind w:firstLine="1440"/>
      </w:pPr>
      <w:rPr>
        <w:b w:val="0"/>
        <w:i w:val="0"/>
        <w:caps w:val="0"/>
        <w:strike w:val="0"/>
        <w:dstrike w:val="0"/>
        <w:color w:val="000000"/>
      </w:rPr>
    </w:lvl>
    <w:lvl w:ilvl="3">
      <w:start w:val="1"/>
      <w:numFmt w:val="upperLetter"/>
      <w:pStyle w:val="StandardL4"/>
      <w:lvlText w:val="(%4)"/>
      <w:lvlJc w:val="left"/>
      <w:pPr>
        <w:tabs>
          <w:tab w:val="left" w:pos="2880"/>
        </w:tabs>
        <w:ind w:firstLine="2160"/>
      </w:pPr>
      <w:rPr>
        <w:b w:val="0"/>
        <w:i w:val="0"/>
        <w:caps w:val="0"/>
        <w:strike w:val="0"/>
        <w:dstrike w:val="0"/>
        <w:color w:val="000000"/>
      </w:rPr>
    </w:lvl>
    <w:lvl w:ilvl="4">
      <w:start w:val="1"/>
      <w:numFmt w:val="lowerLetter"/>
      <w:lvlText w:val="%5."/>
      <w:lvlJc w:val="left"/>
      <w:pPr>
        <w:tabs>
          <w:tab w:val="left" w:pos="3600"/>
        </w:tabs>
        <w:ind w:firstLine="2880"/>
      </w:pPr>
      <w:rPr>
        <w:b w:val="0"/>
        <w:i w:val="0"/>
        <w:caps w:val="0"/>
        <w:strike w:val="0"/>
        <w:dstrike w:val="0"/>
        <w:color w:val="000000"/>
      </w:rPr>
    </w:lvl>
    <w:lvl w:ilvl="5">
      <w:start w:val="1"/>
      <w:numFmt w:val="lowerRoman"/>
      <w:lvlText w:val="%6."/>
      <w:lvlJc w:val="left"/>
      <w:pPr>
        <w:tabs>
          <w:tab w:val="left" w:pos="4320"/>
        </w:tabs>
        <w:ind w:firstLine="3600"/>
      </w:pPr>
      <w:rPr>
        <w:b w:val="0"/>
        <w:i w:val="0"/>
        <w:caps w:val="0"/>
        <w:strike w:val="0"/>
        <w:dstrike w:val="0"/>
        <w:color w:val="000000"/>
      </w:rPr>
    </w:lvl>
    <w:lvl w:ilvl="6">
      <w:start w:val="1"/>
      <w:numFmt w:val="decimal"/>
      <w:lvlText w:val="%7)"/>
      <w:lvlJc w:val="left"/>
      <w:pPr>
        <w:tabs>
          <w:tab w:val="left" w:pos="5040"/>
        </w:tabs>
        <w:ind w:firstLine="4320"/>
      </w:pPr>
      <w:rPr>
        <w:b w:val="0"/>
        <w:i w:val="0"/>
        <w:caps w:val="0"/>
        <w:strike w:val="0"/>
        <w:dstrike w:val="0"/>
        <w:color w:val="000000"/>
      </w:rPr>
    </w:lvl>
    <w:lvl w:ilvl="7">
      <w:start w:val="1"/>
      <w:numFmt w:val="lowerLetter"/>
      <w:lvlText w:val="%8)"/>
      <w:lvlJc w:val="left"/>
      <w:pPr>
        <w:tabs>
          <w:tab w:val="left" w:pos="5760"/>
        </w:tabs>
        <w:ind w:firstLine="5040"/>
      </w:pPr>
      <w:rPr>
        <w:b w:val="0"/>
        <w:i w:val="0"/>
        <w:caps w:val="0"/>
        <w:strike w:val="0"/>
        <w:dstrike w:val="0"/>
        <w:color w:val="000000"/>
      </w:rPr>
    </w:lvl>
    <w:lvl w:ilvl="8">
      <w:start w:val="1"/>
      <w:numFmt w:val="lowerRoman"/>
      <w:lvlText w:val="%9)"/>
      <w:lvlJc w:val="left"/>
      <w:pPr>
        <w:tabs>
          <w:tab w:val="left" w:pos="6480"/>
        </w:tabs>
        <w:ind w:firstLine="5760"/>
      </w:pPr>
      <w:rPr>
        <w:b w:val="0"/>
        <w:i w:val="0"/>
        <w:caps w:val="0"/>
        <w:strike w:val="0"/>
        <w:dstrike w:val="0"/>
        <w:color w:val="000000"/>
      </w:rPr>
    </w:lvl>
  </w:abstractNum>
  <w:abstractNum w:abstractNumId="1" w15:restartNumberingAfterBreak="0">
    <w:nsid w:val="64A13084"/>
    <w:multiLevelType w:val="multilevel"/>
    <w:tmpl w:val="9E34BA5A"/>
    <w:lvl w:ilvl="0">
      <w:start w:val="1"/>
      <w:numFmt w:val="decimal"/>
      <w:pStyle w:val="Legal31"/>
      <w:lvlText w:val="Section %1."/>
      <w:lvlJc w:val="left"/>
      <w:rPr>
        <w:rFonts w:ascii="Times New Roman" w:hAnsi="Times New Roman"/>
        <w:b/>
        <w:i w:val="0"/>
        <w:caps w:val="0"/>
        <w:smallCaps w:val="0"/>
        <w:strike w:val="0"/>
        <w:dstrike w:val="0"/>
        <w:color w:val="000000"/>
        <w:sz w:val="24"/>
      </w:rPr>
    </w:lvl>
    <w:lvl w:ilvl="1">
      <w:start w:val="1"/>
      <w:numFmt w:val="decimal"/>
      <w:lvlText w:val="%1.%2"/>
      <w:lvlJc w:val="left"/>
      <w:pPr>
        <w:ind w:firstLine="720"/>
      </w:pPr>
      <w:rPr>
        <w:rFonts w:ascii="Times New Roman" w:hAnsi="Times New Roman"/>
        <w:b w:val="0"/>
        <w:i w:val="0"/>
        <w:caps w:val="0"/>
        <w:smallCaps w:val="0"/>
        <w:strike w:val="0"/>
        <w:dstrike w:val="0"/>
        <w:color w:val="000000"/>
        <w:sz w:val="24"/>
      </w:rPr>
    </w:lvl>
    <w:lvl w:ilvl="2">
      <w:start w:val="1"/>
      <w:numFmt w:val="decimal"/>
      <w:lvlText w:val="%1.%2.%3"/>
      <w:lvlJc w:val="left"/>
      <w:pPr>
        <w:ind w:firstLine="1440"/>
      </w:pPr>
      <w:rPr>
        <w:rFonts w:ascii="Times New Roman" w:hAnsi="Times New Roman"/>
        <w:b w:val="0"/>
        <w:i w:val="0"/>
        <w:caps w:val="0"/>
        <w:smallCaps w:val="0"/>
        <w:strike w:val="0"/>
        <w:dstrike w:val="0"/>
        <w:color w:val="000000"/>
        <w:sz w:val="24"/>
      </w:rPr>
    </w:lvl>
    <w:lvl w:ilvl="3">
      <w:start w:val="1"/>
      <w:numFmt w:val="lowerLetter"/>
      <w:lvlText w:val="(%4)"/>
      <w:lvlJc w:val="left"/>
      <w:pPr>
        <w:ind w:firstLine="2160"/>
      </w:pPr>
      <w:rPr>
        <w:rFonts w:ascii="Times New Roman" w:hAnsi="Times New Roman"/>
        <w:b w:val="0"/>
        <w:i w:val="0"/>
        <w:caps w:val="0"/>
        <w:smallCaps w:val="0"/>
        <w:strike w:val="0"/>
        <w:dstrike w:val="0"/>
        <w:color w:val="000000"/>
        <w:sz w:val="24"/>
      </w:rPr>
    </w:lvl>
    <w:lvl w:ilvl="4">
      <w:start w:val="1"/>
      <w:numFmt w:val="lowerRoman"/>
      <w:lvlText w:val="(%5)"/>
      <w:lvlJc w:val="left"/>
      <w:pPr>
        <w:ind w:firstLine="2880"/>
      </w:pPr>
      <w:rPr>
        <w:rFonts w:ascii="Times New Roman" w:hAnsi="Times New Roman"/>
        <w:b w:val="0"/>
        <w:i w:val="0"/>
        <w:caps w:val="0"/>
        <w:smallCaps w:val="0"/>
        <w:strike w:val="0"/>
        <w:dstrike w:val="0"/>
        <w:color w:val="000000"/>
        <w:sz w:val="24"/>
      </w:rPr>
    </w:lvl>
    <w:lvl w:ilvl="5">
      <w:start w:val="1"/>
      <w:numFmt w:val="decimal"/>
      <w:lvlText w:val="(%6)"/>
      <w:lvlJc w:val="left"/>
      <w:pPr>
        <w:ind w:firstLine="3600"/>
      </w:pPr>
      <w:rPr>
        <w:rFonts w:ascii="Times New Roman" w:hAnsi="Times New Roman"/>
        <w:b w:val="0"/>
        <w:i w:val="0"/>
        <w:caps w:val="0"/>
        <w:smallCaps w:val="0"/>
        <w:strike w:val="0"/>
        <w:dstrike w:val="0"/>
        <w:color w:val="000000"/>
        <w:sz w:val="24"/>
      </w:rPr>
    </w:lvl>
    <w:lvl w:ilvl="6">
      <w:start w:val="1"/>
      <w:numFmt w:val="lowerLetter"/>
      <w:lvlText w:val="(%7)"/>
      <w:lvlJc w:val="left"/>
      <w:pPr>
        <w:ind w:firstLine="720"/>
      </w:pPr>
      <w:rPr>
        <w:rFonts w:ascii="Times New Roman" w:hAnsi="Times New Roman"/>
        <w:b w:val="0"/>
        <w:i w:val="0"/>
        <w:caps w:val="0"/>
        <w:smallCaps w:val="0"/>
        <w:strike w:val="0"/>
        <w:dstrike w:val="0"/>
        <w:color w:val="000000"/>
        <w:sz w:val="24"/>
      </w:rPr>
    </w:lvl>
    <w:lvl w:ilvl="7">
      <w:start w:val="1"/>
      <w:numFmt w:val="lowerRoman"/>
      <w:lvlText w:val="(%8)"/>
      <w:lvlJc w:val="left"/>
      <w:pPr>
        <w:ind w:firstLine="1440"/>
      </w:pPr>
      <w:rPr>
        <w:rFonts w:ascii="Times New Roman" w:hAnsi="Times New Roman"/>
        <w:b w:val="0"/>
        <w:i w:val="0"/>
        <w:caps w:val="0"/>
        <w:smallCaps w:val="0"/>
        <w:strike w:val="0"/>
        <w:dstrike w:val="0"/>
        <w:color w:val="000000"/>
        <w:sz w:val="24"/>
      </w:rPr>
    </w:lvl>
    <w:lvl w:ilvl="8">
      <w:start w:val="1"/>
      <w:numFmt w:val="decimal"/>
      <w:lvlText w:val="(%9)"/>
      <w:lvlJc w:val="left"/>
      <w:pPr>
        <w:ind w:firstLine="2160"/>
      </w:pPr>
      <w:rPr>
        <w:rFonts w:ascii="Times New Roman" w:hAnsi="Times New Roman"/>
        <w:b w:val="0"/>
        <w:i w:val="0"/>
        <w:caps w:val="0"/>
        <w:smallCaps w:val="0"/>
        <w:strike w:val="0"/>
        <w:dstrike w:val="0"/>
        <w:color w:val="00000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16"/>
    <w:rsid w:val="000019ED"/>
    <w:rsid w:val="00053D04"/>
    <w:rsid w:val="0005786C"/>
    <w:rsid w:val="00067EA2"/>
    <w:rsid w:val="00111878"/>
    <w:rsid w:val="001F5BF4"/>
    <w:rsid w:val="002564D7"/>
    <w:rsid w:val="00310D95"/>
    <w:rsid w:val="00407E7E"/>
    <w:rsid w:val="00467D33"/>
    <w:rsid w:val="004803A5"/>
    <w:rsid w:val="00493247"/>
    <w:rsid w:val="004C415F"/>
    <w:rsid w:val="00544FF0"/>
    <w:rsid w:val="00545D29"/>
    <w:rsid w:val="005F5A25"/>
    <w:rsid w:val="006B1FCE"/>
    <w:rsid w:val="006D6493"/>
    <w:rsid w:val="00724E82"/>
    <w:rsid w:val="007254AC"/>
    <w:rsid w:val="0073349E"/>
    <w:rsid w:val="00742808"/>
    <w:rsid w:val="00747E94"/>
    <w:rsid w:val="007568E6"/>
    <w:rsid w:val="00783169"/>
    <w:rsid w:val="007E6580"/>
    <w:rsid w:val="007F48BB"/>
    <w:rsid w:val="008C1953"/>
    <w:rsid w:val="008D0212"/>
    <w:rsid w:val="009508D1"/>
    <w:rsid w:val="00960D51"/>
    <w:rsid w:val="009A2C95"/>
    <w:rsid w:val="00AD4CB4"/>
    <w:rsid w:val="00B23632"/>
    <w:rsid w:val="00B7087A"/>
    <w:rsid w:val="00BE21C7"/>
    <w:rsid w:val="00BF2D26"/>
    <w:rsid w:val="00C2550E"/>
    <w:rsid w:val="00C6145B"/>
    <w:rsid w:val="00C84E34"/>
    <w:rsid w:val="00CE321C"/>
    <w:rsid w:val="00D1451D"/>
    <w:rsid w:val="00D62B16"/>
    <w:rsid w:val="00DB137D"/>
    <w:rsid w:val="00DE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784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D62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62B16"/>
    <w:pPr>
      <w:keepNext/>
      <w:keepLines/>
      <w:adjustRightInd w:val="0"/>
      <w:spacing w:before="120" w:after="240"/>
      <w:jc w:val="center"/>
      <w:outlineLvl w:val="0"/>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D62B16"/>
    <w:rPr>
      <w:rFonts w:ascii="Times New Roman" w:eastAsia="Times New Roman" w:hAnsi="Times New Roman" w:cs="Times New Roman"/>
      <w:b/>
      <w:bCs/>
    </w:rPr>
  </w:style>
  <w:style w:type="character" w:styleId="CommentReference">
    <w:name w:val="annotation reference"/>
    <w:basedOn w:val="DefaultParagraphFont"/>
    <w:uiPriority w:val="99"/>
    <w:semiHidden/>
    <w:rsid w:val="00D62B16"/>
    <w:rPr>
      <w:sz w:val="16"/>
      <w:szCs w:val="16"/>
    </w:rPr>
  </w:style>
  <w:style w:type="paragraph" w:styleId="CommentText">
    <w:name w:val="annotation text"/>
    <w:basedOn w:val="Normal"/>
    <w:link w:val="CommentTextChar"/>
    <w:uiPriority w:val="99"/>
    <w:semiHidden/>
    <w:rsid w:val="00D62B16"/>
    <w:pPr>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2B16"/>
    <w:rPr>
      <w:rFonts w:ascii="Times New Roman" w:eastAsia="Times New Roman" w:hAnsi="Times New Roman" w:cs="Times New Roman"/>
      <w:sz w:val="20"/>
      <w:szCs w:val="20"/>
    </w:rPr>
  </w:style>
  <w:style w:type="paragraph" w:customStyle="1" w:styleId="Legal31">
    <w:name w:val="Legal3 1"/>
    <w:basedOn w:val="Normal"/>
    <w:link w:val="Legal31Char"/>
    <w:rsid w:val="00D62B16"/>
    <w:pPr>
      <w:numPr>
        <w:numId w:val="1"/>
      </w:numPr>
      <w:tabs>
        <w:tab w:val="left" w:pos="0"/>
        <w:tab w:val="left" w:pos="1080"/>
      </w:tabs>
      <w:adjustRightInd w:val="0"/>
      <w:spacing w:after="240"/>
      <w:ind w:hanging="360"/>
      <w:outlineLvl w:val="0"/>
    </w:pPr>
    <w:rPr>
      <w:rFonts w:ascii="Times New Roman" w:eastAsia="Times New Roman" w:hAnsi="Times New Roman" w:cs="Times New Roman"/>
    </w:rPr>
  </w:style>
  <w:style w:type="character" w:customStyle="1" w:styleId="Legal31Char">
    <w:name w:val="Legal3 1 Char"/>
    <w:link w:val="Legal31"/>
    <w:rsid w:val="00D62B16"/>
    <w:rPr>
      <w:rFonts w:ascii="Times New Roman" w:eastAsia="Times New Roman" w:hAnsi="Times New Roman" w:cs="Times New Roman"/>
    </w:rPr>
  </w:style>
  <w:style w:type="paragraph" w:customStyle="1" w:styleId="StandardL1">
    <w:name w:val="Standard_L1"/>
    <w:basedOn w:val="Normal"/>
    <w:link w:val="StandardL1Char"/>
    <w:rsid w:val="00D62B16"/>
    <w:pPr>
      <w:numPr>
        <w:numId w:val="2"/>
      </w:numPr>
      <w:adjustRightInd w:val="0"/>
      <w:spacing w:after="240"/>
      <w:ind w:hanging="360"/>
      <w:jc w:val="both"/>
      <w:outlineLvl w:val="0"/>
    </w:pPr>
    <w:rPr>
      <w:rFonts w:ascii="Times New Roman" w:eastAsia="Times New Roman" w:hAnsi="Times New Roman" w:cs="Times New Roman"/>
    </w:rPr>
  </w:style>
  <w:style w:type="character" w:customStyle="1" w:styleId="StandardL1Char">
    <w:name w:val="Standard_L1 Char"/>
    <w:basedOn w:val="DefaultParagraphFont"/>
    <w:link w:val="StandardL1"/>
    <w:rsid w:val="00D62B16"/>
    <w:rPr>
      <w:rFonts w:ascii="Times New Roman" w:eastAsia="Times New Roman" w:hAnsi="Times New Roman" w:cs="Times New Roman"/>
    </w:rPr>
  </w:style>
  <w:style w:type="paragraph" w:customStyle="1" w:styleId="StandardL2">
    <w:name w:val="Standard_L2"/>
    <w:basedOn w:val="StandardL1"/>
    <w:link w:val="StandardL2Char"/>
    <w:rsid w:val="00D62B16"/>
    <w:pPr>
      <w:numPr>
        <w:ilvl w:val="1"/>
      </w:numPr>
      <w:tabs>
        <w:tab w:val="clear" w:pos="720"/>
      </w:tabs>
      <w:outlineLvl w:val="1"/>
    </w:pPr>
  </w:style>
  <w:style w:type="character" w:customStyle="1" w:styleId="StandardL2Char">
    <w:name w:val="Standard_L2 Char"/>
    <w:basedOn w:val="DefaultParagraphFont"/>
    <w:link w:val="StandardL2"/>
    <w:rsid w:val="00D62B16"/>
    <w:rPr>
      <w:rFonts w:ascii="Times New Roman" w:eastAsia="Times New Roman" w:hAnsi="Times New Roman" w:cs="Times New Roman"/>
    </w:rPr>
  </w:style>
  <w:style w:type="paragraph" w:customStyle="1" w:styleId="StandardL3">
    <w:name w:val="Standard_L3"/>
    <w:basedOn w:val="StandardL2"/>
    <w:rsid w:val="00D62B16"/>
    <w:pPr>
      <w:numPr>
        <w:ilvl w:val="2"/>
      </w:numPr>
      <w:tabs>
        <w:tab w:val="clear" w:pos="1440"/>
        <w:tab w:val="left" w:pos="720"/>
      </w:tabs>
      <w:outlineLvl w:val="2"/>
    </w:pPr>
  </w:style>
  <w:style w:type="paragraph" w:customStyle="1" w:styleId="StandardL4">
    <w:name w:val="Standard_L4"/>
    <w:basedOn w:val="StandardL3"/>
    <w:link w:val="StandardL4Char"/>
    <w:rsid w:val="00D62B16"/>
    <w:pPr>
      <w:numPr>
        <w:ilvl w:val="3"/>
      </w:numPr>
      <w:tabs>
        <w:tab w:val="clear" w:pos="2160"/>
      </w:tabs>
      <w:outlineLvl w:val="3"/>
    </w:pPr>
  </w:style>
  <w:style w:type="character" w:customStyle="1" w:styleId="StandardL4Char">
    <w:name w:val="Standard_L4 Char"/>
    <w:basedOn w:val="DefaultParagraphFont"/>
    <w:link w:val="StandardL4"/>
    <w:rsid w:val="00D62B1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2B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2B16"/>
    <w:rPr>
      <w:rFonts w:ascii="Times New Roman" w:hAnsi="Times New Roman" w:cs="Times New Roman"/>
      <w:sz w:val="18"/>
      <w:szCs w:val="18"/>
    </w:rPr>
  </w:style>
  <w:style w:type="paragraph" w:styleId="Header">
    <w:name w:val="header"/>
    <w:basedOn w:val="Normal"/>
    <w:link w:val="HeaderChar"/>
    <w:uiPriority w:val="99"/>
    <w:unhideWhenUsed/>
    <w:rsid w:val="00D1451D"/>
    <w:pPr>
      <w:tabs>
        <w:tab w:val="center" w:pos="4680"/>
        <w:tab w:val="right" w:pos="9360"/>
      </w:tabs>
    </w:pPr>
  </w:style>
  <w:style w:type="character" w:customStyle="1" w:styleId="HeaderChar">
    <w:name w:val="Header Char"/>
    <w:basedOn w:val="DefaultParagraphFont"/>
    <w:link w:val="Header"/>
    <w:uiPriority w:val="99"/>
    <w:rsid w:val="00D1451D"/>
  </w:style>
  <w:style w:type="paragraph" w:styleId="Footer">
    <w:name w:val="footer"/>
    <w:basedOn w:val="Normal"/>
    <w:link w:val="FooterChar"/>
    <w:uiPriority w:val="99"/>
    <w:unhideWhenUsed/>
    <w:rsid w:val="00D1451D"/>
    <w:pPr>
      <w:tabs>
        <w:tab w:val="center" w:pos="4680"/>
        <w:tab w:val="right" w:pos="9360"/>
      </w:tabs>
    </w:pPr>
  </w:style>
  <w:style w:type="character" w:customStyle="1" w:styleId="FooterChar">
    <w:name w:val="Footer Char"/>
    <w:basedOn w:val="DefaultParagraphFont"/>
    <w:link w:val="Footer"/>
    <w:uiPriority w:val="99"/>
    <w:rsid w:val="00D1451D"/>
  </w:style>
  <w:style w:type="paragraph" w:styleId="CommentSubject">
    <w:name w:val="annotation subject"/>
    <w:basedOn w:val="CommentText"/>
    <w:next w:val="CommentText"/>
    <w:link w:val="CommentSubjectChar"/>
    <w:uiPriority w:val="99"/>
    <w:semiHidden/>
    <w:unhideWhenUsed/>
    <w:rsid w:val="00B7087A"/>
    <w:pPr>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08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2017-12-12T19:45:00Z</dcterms:created>
  <dcterms:modified xsi:type="dcterms:W3CDTF">2017-12-12T19:45:00Z</dcterms:modified>
</cp:coreProperties>
</file>